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3D5F" w14:textId="77777777" w:rsidR="00A2037F" w:rsidRPr="004F177C" w:rsidRDefault="00A2037F" w:rsidP="00A2037F">
      <w:pPr>
        <w:rPr>
          <w:rFonts w:ascii="Poppins" w:hAnsi="Poppins" w:cs="Poppins"/>
          <w:b/>
          <w:sz w:val="22"/>
          <w:szCs w:val="22"/>
          <w:shd w:val="clear" w:color="auto" w:fill="FFFFFF"/>
        </w:rPr>
      </w:pPr>
      <w:bookmarkStart w:id="0" w:name="_Hlk67311269"/>
      <w:r w:rsidRPr="004F177C">
        <w:rPr>
          <w:rFonts w:ascii="Poppins" w:hAnsi="Poppins" w:cs="Poppins"/>
          <w:noProof/>
          <w:lang w:eastAsia="pl-PL"/>
        </w:rPr>
        <w:drawing>
          <wp:anchor distT="0" distB="0" distL="114300" distR="114300" simplePos="0" relativeHeight="251659264" behindDoc="0" locked="0" layoutInCell="1" allowOverlap="1" wp14:anchorId="185CF90B" wp14:editId="41CAE241">
            <wp:simplePos x="0" y="0"/>
            <wp:positionH relativeFrom="margin">
              <wp:align>left</wp:align>
            </wp:positionH>
            <wp:positionV relativeFrom="margin">
              <wp:posOffset>-29210</wp:posOffset>
            </wp:positionV>
            <wp:extent cx="3171190" cy="706120"/>
            <wp:effectExtent l="0" t="0" r="0" b="0"/>
            <wp:wrapSquare wrapText="bothSides"/>
            <wp:docPr id="6" name="Obraz 5">
              <a:extLst xmlns:a="http://schemas.openxmlformats.org/drawingml/2006/main">
                <a:ext uri="{FF2B5EF4-FFF2-40B4-BE49-F238E27FC236}">
                  <a16:creationId xmlns:a16="http://schemas.microsoft.com/office/drawing/2014/main" id="{E876A235-B608-4DDD-B52F-75C0F25F6C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a:extLst>
                        <a:ext uri="{FF2B5EF4-FFF2-40B4-BE49-F238E27FC236}">
                          <a16:creationId xmlns:a16="http://schemas.microsoft.com/office/drawing/2014/main" id="{E876A235-B608-4DDD-B52F-75C0F25F6C3D}"/>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1820" cy="706120"/>
                    </a:xfrm>
                    <a:prstGeom prst="rect">
                      <a:avLst/>
                    </a:prstGeom>
                  </pic:spPr>
                </pic:pic>
              </a:graphicData>
            </a:graphic>
          </wp:anchor>
        </w:drawing>
      </w:r>
    </w:p>
    <w:p w14:paraId="7D324FFB" w14:textId="77777777" w:rsidR="00A2037F" w:rsidRPr="004F177C" w:rsidRDefault="00A2037F" w:rsidP="00A2037F">
      <w:pPr>
        <w:rPr>
          <w:rFonts w:ascii="Poppins" w:hAnsi="Poppins" w:cs="Poppins"/>
          <w:b/>
          <w:sz w:val="22"/>
          <w:szCs w:val="22"/>
          <w:shd w:val="clear" w:color="auto" w:fill="FFFFFF"/>
        </w:rPr>
      </w:pPr>
    </w:p>
    <w:p w14:paraId="42A80E6C" w14:textId="77777777" w:rsidR="0030568C" w:rsidRDefault="0030568C" w:rsidP="00B066BC">
      <w:pPr>
        <w:rPr>
          <w:rFonts w:asciiTheme="majorHAnsi" w:hAnsiTheme="majorHAnsi" w:cstheme="majorHAnsi"/>
          <w:b/>
          <w:sz w:val="22"/>
          <w:szCs w:val="22"/>
          <w:shd w:val="clear" w:color="auto" w:fill="FFFFFF"/>
        </w:rPr>
      </w:pPr>
    </w:p>
    <w:p w14:paraId="3B449DC9" w14:textId="07898B0C" w:rsidR="00B25745" w:rsidRPr="00B066BC" w:rsidRDefault="00A2037F" w:rsidP="00B066BC">
      <w:pPr>
        <w:rPr>
          <w:rFonts w:asciiTheme="majorHAnsi" w:hAnsiTheme="majorHAnsi" w:cstheme="majorHAnsi"/>
          <w:b/>
          <w:sz w:val="22"/>
          <w:szCs w:val="22"/>
          <w:shd w:val="clear" w:color="auto" w:fill="FFFFFF"/>
        </w:rPr>
      </w:pPr>
      <w:r w:rsidRPr="005732BB">
        <w:rPr>
          <w:rFonts w:asciiTheme="majorHAnsi" w:hAnsiTheme="majorHAnsi" w:cstheme="majorHAnsi"/>
          <w:b/>
          <w:sz w:val="22"/>
          <w:szCs w:val="22"/>
          <w:shd w:val="clear" w:color="auto" w:fill="FFFFFF"/>
        </w:rPr>
        <w:t>Warszawa</w:t>
      </w:r>
      <w:r w:rsidRPr="00DE3457">
        <w:rPr>
          <w:rFonts w:asciiTheme="majorHAnsi" w:hAnsiTheme="majorHAnsi" w:cstheme="majorHAnsi"/>
          <w:b/>
          <w:sz w:val="22"/>
          <w:szCs w:val="22"/>
          <w:shd w:val="clear" w:color="auto" w:fill="FFFFFF"/>
        </w:rPr>
        <w:t xml:space="preserve">, </w:t>
      </w:r>
      <w:r w:rsidR="00146DDC">
        <w:rPr>
          <w:rFonts w:asciiTheme="majorHAnsi" w:hAnsiTheme="majorHAnsi" w:cstheme="majorHAnsi"/>
          <w:b/>
          <w:sz w:val="22"/>
          <w:szCs w:val="22"/>
          <w:shd w:val="clear" w:color="auto" w:fill="FFFFFF"/>
        </w:rPr>
        <w:t>18</w:t>
      </w:r>
      <w:r w:rsidR="0055278E">
        <w:rPr>
          <w:rFonts w:asciiTheme="majorHAnsi" w:hAnsiTheme="majorHAnsi" w:cstheme="majorHAnsi"/>
          <w:b/>
          <w:sz w:val="22"/>
          <w:szCs w:val="22"/>
          <w:shd w:val="clear" w:color="auto" w:fill="FFFFFF"/>
        </w:rPr>
        <w:t xml:space="preserve"> lipca</w:t>
      </w:r>
      <w:r w:rsidR="00B0663E">
        <w:rPr>
          <w:rFonts w:asciiTheme="majorHAnsi" w:hAnsiTheme="majorHAnsi" w:cstheme="majorHAnsi"/>
          <w:b/>
          <w:sz w:val="22"/>
          <w:szCs w:val="22"/>
          <w:shd w:val="clear" w:color="auto" w:fill="FFFFFF"/>
        </w:rPr>
        <w:t xml:space="preserve"> </w:t>
      </w:r>
      <w:r w:rsidRPr="00DE3457">
        <w:rPr>
          <w:rFonts w:asciiTheme="majorHAnsi" w:hAnsiTheme="majorHAnsi" w:cstheme="majorHAnsi"/>
          <w:b/>
          <w:sz w:val="22"/>
          <w:szCs w:val="22"/>
          <w:shd w:val="clear" w:color="auto" w:fill="FFFFFF"/>
        </w:rPr>
        <w:t>202</w:t>
      </w:r>
      <w:r w:rsidR="00B0663E">
        <w:rPr>
          <w:rFonts w:asciiTheme="majorHAnsi" w:hAnsiTheme="majorHAnsi" w:cstheme="majorHAnsi"/>
          <w:b/>
          <w:sz w:val="22"/>
          <w:szCs w:val="22"/>
          <w:shd w:val="clear" w:color="auto" w:fill="FFFFFF"/>
        </w:rPr>
        <w:t>3</w:t>
      </w:r>
      <w:r w:rsidRPr="000F6A29">
        <w:rPr>
          <w:rFonts w:asciiTheme="majorHAnsi" w:hAnsiTheme="majorHAnsi" w:cstheme="majorHAnsi"/>
          <w:b/>
          <w:sz w:val="22"/>
          <w:szCs w:val="22"/>
          <w:shd w:val="clear" w:color="auto" w:fill="FFFFFF"/>
        </w:rPr>
        <w:t xml:space="preserve"> roku</w:t>
      </w:r>
    </w:p>
    <w:p w14:paraId="22E9EE35" w14:textId="4480E006" w:rsidR="00FE0F75" w:rsidRDefault="00146DDC" w:rsidP="009E348F">
      <w:pPr>
        <w:pStyle w:val="Bezodstpw"/>
        <w:jc w:val="center"/>
        <w:rPr>
          <w:rFonts w:ascii="Calibri" w:eastAsia="Calibri" w:hAnsi="Calibri" w:cs="Calibri"/>
          <w:b/>
          <w:bCs/>
          <w:sz w:val="48"/>
          <w:szCs w:val="48"/>
        </w:rPr>
      </w:pPr>
      <w:r>
        <w:rPr>
          <w:rFonts w:ascii="Calibri" w:eastAsia="Calibri" w:hAnsi="Calibri" w:cs="Calibri"/>
          <w:b/>
          <w:bCs/>
          <w:sz w:val="48"/>
          <w:szCs w:val="48"/>
        </w:rPr>
        <w:t xml:space="preserve">ATAL S.A. </w:t>
      </w:r>
      <w:r w:rsidRPr="00146DDC">
        <w:rPr>
          <w:rFonts w:ascii="Calibri" w:eastAsia="Calibri" w:hAnsi="Calibri" w:cs="Calibri"/>
          <w:b/>
          <w:bCs/>
          <w:sz w:val="48"/>
          <w:szCs w:val="48"/>
        </w:rPr>
        <w:t>–</w:t>
      </w:r>
      <w:r>
        <w:rPr>
          <w:rFonts w:ascii="Calibri" w:eastAsia="Calibri" w:hAnsi="Calibri" w:cs="Calibri"/>
          <w:b/>
          <w:bCs/>
          <w:sz w:val="48"/>
          <w:szCs w:val="48"/>
        </w:rPr>
        <w:t xml:space="preserve"> </w:t>
      </w:r>
      <w:r w:rsidR="00801290">
        <w:rPr>
          <w:rFonts w:ascii="Calibri" w:eastAsia="Calibri" w:hAnsi="Calibri" w:cs="Calibri"/>
          <w:b/>
          <w:bCs/>
          <w:sz w:val="48"/>
          <w:szCs w:val="48"/>
        </w:rPr>
        <w:t xml:space="preserve">rusza </w:t>
      </w:r>
      <w:r>
        <w:rPr>
          <w:rFonts w:ascii="Calibri" w:eastAsia="Calibri" w:hAnsi="Calibri" w:cs="Calibri"/>
          <w:b/>
          <w:bCs/>
          <w:sz w:val="48"/>
          <w:szCs w:val="48"/>
        </w:rPr>
        <w:t>budowa</w:t>
      </w:r>
      <w:r w:rsidRPr="00146DDC">
        <w:rPr>
          <w:rFonts w:ascii="Calibri" w:eastAsia="Calibri" w:hAnsi="Calibri" w:cs="Calibri"/>
          <w:b/>
          <w:bCs/>
          <w:sz w:val="48"/>
          <w:szCs w:val="48"/>
        </w:rPr>
        <w:t xml:space="preserve"> księgi popytu na </w:t>
      </w:r>
      <w:r>
        <w:rPr>
          <w:rFonts w:ascii="Calibri" w:eastAsia="Calibri" w:hAnsi="Calibri" w:cs="Calibri"/>
          <w:b/>
          <w:bCs/>
          <w:sz w:val="48"/>
          <w:szCs w:val="48"/>
        </w:rPr>
        <w:t xml:space="preserve">nie więcej niż 4,5 mln </w:t>
      </w:r>
      <w:r w:rsidRPr="00146DDC">
        <w:rPr>
          <w:rFonts w:ascii="Calibri" w:eastAsia="Calibri" w:hAnsi="Calibri" w:cs="Calibri"/>
          <w:b/>
          <w:bCs/>
          <w:sz w:val="48"/>
          <w:szCs w:val="48"/>
        </w:rPr>
        <w:t>akcj</w:t>
      </w:r>
      <w:r>
        <w:rPr>
          <w:rFonts w:ascii="Calibri" w:eastAsia="Calibri" w:hAnsi="Calibri" w:cs="Calibri"/>
          <w:b/>
          <w:bCs/>
          <w:sz w:val="48"/>
          <w:szCs w:val="48"/>
        </w:rPr>
        <w:t>i</w:t>
      </w:r>
      <w:r w:rsidRPr="00146DDC">
        <w:rPr>
          <w:rFonts w:ascii="Calibri" w:eastAsia="Calibri" w:hAnsi="Calibri" w:cs="Calibri"/>
          <w:b/>
          <w:bCs/>
          <w:sz w:val="48"/>
          <w:szCs w:val="48"/>
        </w:rPr>
        <w:t xml:space="preserve"> nowej emisji </w:t>
      </w:r>
    </w:p>
    <w:p w14:paraId="5146DFDF" w14:textId="059AADBC" w:rsidR="00146DDC" w:rsidRPr="00146DDC" w:rsidRDefault="006568BF" w:rsidP="00146DDC">
      <w:pPr>
        <w:suppressAutoHyphens/>
        <w:autoSpaceDE w:val="0"/>
        <w:spacing w:before="240" w:after="120" w:line="240" w:lineRule="auto"/>
        <w:jc w:val="both"/>
        <w:rPr>
          <w:rFonts w:asciiTheme="majorHAnsi" w:eastAsia="Times New Roman" w:hAnsiTheme="majorHAnsi" w:cstheme="majorHAnsi"/>
          <w:b/>
          <w:bCs/>
          <w:color w:val="000000"/>
          <w:sz w:val="22"/>
          <w:szCs w:val="22"/>
          <w:lang w:eastAsia="ar-SA"/>
        </w:rPr>
      </w:pPr>
      <w:r w:rsidRPr="00C5441A">
        <w:rPr>
          <w:rFonts w:asciiTheme="majorHAnsi" w:eastAsia="Times New Roman" w:hAnsiTheme="majorHAnsi" w:cstheme="majorHAnsi"/>
          <w:b/>
          <w:bCs/>
          <w:color w:val="000000"/>
          <w:sz w:val="22"/>
          <w:szCs w:val="22"/>
          <w:lang w:eastAsia="ar-SA"/>
        </w:rPr>
        <w:t>ATAL</w:t>
      </w:r>
      <w:r>
        <w:rPr>
          <w:rFonts w:asciiTheme="majorHAnsi" w:eastAsia="Times New Roman" w:hAnsiTheme="majorHAnsi" w:cstheme="majorHAnsi"/>
          <w:b/>
          <w:bCs/>
          <w:color w:val="000000"/>
          <w:sz w:val="22"/>
          <w:szCs w:val="22"/>
          <w:lang w:eastAsia="ar-SA"/>
        </w:rPr>
        <w:t xml:space="preserve"> </w:t>
      </w:r>
      <w:r w:rsidR="00146DDC">
        <w:rPr>
          <w:rFonts w:asciiTheme="majorHAnsi" w:eastAsia="Times New Roman" w:hAnsiTheme="majorHAnsi" w:cstheme="majorHAnsi"/>
          <w:b/>
          <w:bCs/>
          <w:color w:val="000000"/>
          <w:sz w:val="22"/>
          <w:szCs w:val="22"/>
          <w:lang w:eastAsia="ar-SA"/>
        </w:rPr>
        <w:t xml:space="preserve">S.A. </w:t>
      </w:r>
      <w:r>
        <w:rPr>
          <w:rFonts w:asciiTheme="majorHAnsi" w:eastAsia="Times New Roman" w:hAnsiTheme="majorHAnsi" w:cstheme="majorHAnsi"/>
          <w:b/>
          <w:bCs/>
          <w:color w:val="000000"/>
          <w:sz w:val="22"/>
          <w:szCs w:val="22"/>
          <w:lang w:eastAsia="ar-SA"/>
        </w:rPr>
        <w:softHyphen/>
      </w:r>
      <w:r w:rsidRPr="009E348F">
        <w:rPr>
          <w:rFonts w:asciiTheme="majorHAnsi" w:eastAsia="Times New Roman" w:hAnsiTheme="majorHAnsi" w:cstheme="majorHAnsi"/>
          <w:b/>
          <w:bCs/>
          <w:color w:val="000000"/>
          <w:sz w:val="22"/>
          <w:szCs w:val="22"/>
          <w:lang w:eastAsia="ar-SA"/>
        </w:rPr>
        <w:t>–</w:t>
      </w:r>
      <w:r>
        <w:rPr>
          <w:rFonts w:asciiTheme="majorHAnsi" w:eastAsia="Times New Roman" w:hAnsiTheme="majorHAnsi" w:cstheme="majorHAnsi"/>
          <w:b/>
          <w:bCs/>
          <w:color w:val="000000"/>
          <w:sz w:val="22"/>
          <w:szCs w:val="22"/>
          <w:lang w:eastAsia="ar-SA"/>
        </w:rPr>
        <w:t xml:space="preserve"> </w:t>
      </w:r>
      <w:r w:rsidRPr="009E348F">
        <w:rPr>
          <w:rFonts w:asciiTheme="majorHAnsi" w:eastAsia="Times New Roman" w:hAnsiTheme="majorHAnsi" w:cstheme="majorHAnsi"/>
          <w:b/>
          <w:bCs/>
          <w:color w:val="000000"/>
          <w:sz w:val="22"/>
          <w:szCs w:val="22"/>
          <w:lang w:eastAsia="ar-SA"/>
        </w:rPr>
        <w:t xml:space="preserve">ogólnopolski deweloper – </w:t>
      </w:r>
      <w:r w:rsidR="00146DDC" w:rsidRPr="00146DDC">
        <w:rPr>
          <w:rFonts w:asciiTheme="majorHAnsi" w:eastAsia="Times New Roman" w:hAnsiTheme="majorHAnsi" w:cstheme="majorHAnsi"/>
          <w:b/>
          <w:bCs/>
          <w:color w:val="000000"/>
          <w:sz w:val="22"/>
          <w:szCs w:val="22"/>
          <w:lang w:eastAsia="ar-SA"/>
        </w:rPr>
        <w:t>rozpoczął proces</w:t>
      </w:r>
      <w:r w:rsidR="00B71928">
        <w:rPr>
          <w:rFonts w:asciiTheme="majorHAnsi" w:eastAsia="Times New Roman" w:hAnsiTheme="majorHAnsi" w:cstheme="majorHAnsi"/>
          <w:b/>
          <w:bCs/>
          <w:color w:val="000000"/>
          <w:sz w:val="22"/>
          <w:szCs w:val="22"/>
          <w:lang w:eastAsia="ar-SA"/>
        </w:rPr>
        <w:t xml:space="preserve"> przyspieszonego</w:t>
      </w:r>
      <w:r w:rsidR="00146DDC" w:rsidRPr="00146DDC">
        <w:rPr>
          <w:rFonts w:asciiTheme="majorHAnsi" w:eastAsia="Times New Roman" w:hAnsiTheme="majorHAnsi" w:cstheme="majorHAnsi"/>
          <w:b/>
          <w:bCs/>
          <w:color w:val="000000"/>
          <w:sz w:val="22"/>
          <w:szCs w:val="22"/>
          <w:lang w:eastAsia="ar-SA"/>
        </w:rPr>
        <w:t xml:space="preserve"> budowania księgi popytu w drodze subskrypcji prywatnej nie więcej niż 4.500.000 akcji zwykłych na okaziciela </w:t>
      </w:r>
      <w:r w:rsidR="00146DDC">
        <w:rPr>
          <w:rFonts w:asciiTheme="majorHAnsi" w:eastAsia="Times New Roman" w:hAnsiTheme="majorHAnsi" w:cstheme="majorHAnsi"/>
          <w:b/>
          <w:bCs/>
          <w:color w:val="000000"/>
          <w:sz w:val="22"/>
          <w:szCs w:val="22"/>
          <w:lang w:eastAsia="ar-SA"/>
        </w:rPr>
        <w:t xml:space="preserve">nowo emitowanej </w:t>
      </w:r>
      <w:r w:rsidR="00146DDC" w:rsidRPr="00146DDC">
        <w:rPr>
          <w:rFonts w:asciiTheme="majorHAnsi" w:eastAsia="Times New Roman" w:hAnsiTheme="majorHAnsi" w:cstheme="majorHAnsi"/>
          <w:b/>
          <w:bCs/>
          <w:color w:val="000000"/>
          <w:sz w:val="22"/>
          <w:szCs w:val="22"/>
          <w:lang w:eastAsia="ar-SA"/>
        </w:rPr>
        <w:t>serii F</w:t>
      </w:r>
      <w:r w:rsidR="00146DDC">
        <w:rPr>
          <w:rFonts w:asciiTheme="majorHAnsi" w:eastAsia="Times New Roman" w:hAnsiTheme="majorHAnsi" w:cstheme="majorHAnsi"/>
          <w:b/>
          <w:bCs/>
          <w:color w:val="000000"/>
          <w:sz w:val="22"/>
          <w:szCs w:val="22"/>
          <w:lang w:eastAsia="ar-SA"/>
        </w:rPr>
        <w:t xml:space="preserve">. Spółka podpisała umowę </w:t>
      </w:r>
      <w:r w:rsidR="00146DDC" w:rsidRPr="00146DDC">
        <w:rPr>
          <w:rFonts w:asciiTheme="majorHAnsi" w:eastAsia="Times New Roman" w:hAnsiTheme="majorHAnsi" w:cstheme="majorHAnsi"/>
          <w:b/>
          <w:bCs/>
          <w:color w:val="000000"/>
          <w:sz w:val="22"/>
          <w:szCs w:val="22"/>
          <w:lang w:eastAsia="ar-SA"/>
        </w:rPr>
        <w:t>plasowania akcji</w:t>
      </w:r>
      <w:r w:rsidR="00146DDC">
        <w:rPr>
          <w:rFonts w:asciiTheme="majorHAnsi" w:eastAsia="Times New Roman" w:hAnsiTheme="majorHAnsi" w:cstheme="majorHAnsi"/>
          <w:b/>
          <w:bCs/>
          <w:color w:val="000000"/>
          <w:sz w:val="22"/>
          <w:szCs w:val="22"/>
          <w:lang w:eastAsia="ar-SA"/>
        </w:rPr>
        <w:t xml:space="preserve"> z </w:t>
      </w:r>
      <w:r w:rsidR="00146DDC" w:rsidRPr="00146DDC">
        <w:rPr>
          <w:rFonts w:asciiTheme="majorHAnsi" w:eastAsia="Times New Roman" w:hAnsiTheme="majorHAnsi" w:cstheme="majorHAnsi"/>
          <w:b/>
          <w:bCs/>
          <w:color w:val="000000"/>
          <w:sz w:val="22"/>
          <w:szCs w:val="22"/>
          <w:lang w:eastAsia="ar-SA"/>
        </w:rPr>
        <w:t xml:space="preserve">Powszechną Kasą Oszczędności Bank Polski S.A. Oddział – Biuro Maklerskie w Warszawie oraz mBank S.A. – Biuro Maklerskie. Oba podmioty pełnią funkcje Globalnych Koordynatorów i Współprowadzących Księgę Popytu. </w:t>
      </w:r>
    </w:p>
    <w:p w14:paraId="2E17CC0B" w14:textId="1C4D59CC" w:rsidR="00146DDC" w:rsidRDefault="00B71928" w:rsidP="007E6473">
      <w:pPr>
        <w:suppressAutoHyphens/>
        <w:autoSpaceDE w:val="0"/>
        <w:spacing w:before="240" w:after="120" w:line="240" w:lineRule="auto"/>
        <w:jc w:val="both"/>
        <w:rPr>
          <w:rFonts w:asciiTheme="majorHAnsi" w:eastAsia="Times New Roman" w:hAnsiTheme="majorHAnsi" w:cstheme="majorHAnsi"/>
          <w:color w:val="000000"/>
          <w:sz w:val="22"/>
          <w:szCs w:val="22"/>
          <w:lang w:eastAsia="ar-SA"/>
        </w:rPr>
      </w:pPr>
      <w:r w:rsidRPr="00B71928">
        <w:rPr>
          <w:rFonts w:asciiTheme="majorHAnsi" w:eastAsia="Times New Roman" w:hAnsiTheme="majorHAnsi" w:cstheme="majorHAnsi"/>
          <w:color w:val="000000"/>
          <w:sz w:val="22"/>
          <w:szCs w:val="22"/>
          <w:lang w:eastAsia="ar-SA"/>
        </w:rPr>
        <w:t xml:space="preserve">Dotychczasowi akcjonariusze zostali pozbawieni w całości prawa poboru </w:t>
      </w:r>
      <w:r>
        <w:rPr>
          <w:rFonts w:asciiTheme="majorHAnsi" w:eastAsia="Times New Roman" w:hAnsiTheme="majorHAnsi" w:cstheme="majorHAnsi"/>
          <w:color w:val="000000"/>
          <w:sz w:val="22"/>
          <w:szCs w:val="22"/>
          <w:lang w:eastAsia="ar-SA"/>
        </w:rPr>
        <w:t>a</w:t>
      </w:r>
      <w:r w:rsidRPr="00B71928">
        <w:rPr>
          <w:rFonts w:asciiTheme="majorHAnsi" w:eastAsia="Times New Roman" w:hAnsiTheme="majorHAnsi" w:cstheme="majorHAnsi"/>
          <w:color w:val="000000"/>
          <w:sz w:val="22"/>
          <w:szCs w:val="22"/>
          <w:lang w:eastAsia="ar-SA"/>
        </w:rPr>
        <w:t xml:space="preserve">kcji </w:t>
      </w:r>
      <w:r>
        <w:rPr>
          <w:rFonts w:asciiTheme="majorHAnsi" w:eastAsia="Times New Roman" w:hAnsiTheme="majorHAnsi" w:cstheme="majorHAnsi"/>
          <w:color w:val="000000"/>
          <w:sz w:val="22"/>
          <w:szCs w:val="22"/>
          <w:lang w:eastAsia="ar-SA"/>
        </w:rPr>
        <w:t>s</w:t>
      </w:r>
      <w:r w:rsidRPr="00B71928">
        <w:rPr>
          <w:rFonts w:asciiTheme="majorHAnsi" w:eastAsia="Times New Roman" w:hAnsiTheme="majorHAnsi" w:cstheme="majorHAnsi"/>
          <w:color w:val="000000"/>
          <w:sz w:val="22"/>
          <w:szCs w:val="22"/>
          <w:lang w:eastAsia="ar-SA"/>
        </w:rPr>
        <w:t xml:space="preserve">erii F. Spółka zobowiązała się, że bez zgody Menadżerów Oferty nie będzie emitować, sprzedawać, zastawiać ani oferować akcji </w:t>
      </w:r>
      <w:r>
        <w:rPr>
          <w:rFonts w:asciiTheme="majorHAnsi" w:eastAsia="Times New Roman" w:hAnsiTheme="majorHAnsi" w:cstheme="majorHAnsi"/>
          <w:color w:val="000000"/>
          <w:sz w:val="22"/>
          <w:szCs w:val="22"/>
          <w:lang w:eastAsia="ar-SA"/>
        </w:rPr>
        <w:t>ATAL S.A.</w:t>
      </w:r>
      <w:r w:rsidRPr="00B71928">
        <w:rPr>
          <w:rFonts w:asciiTheme="majorHAnsi" w:eastAsia="Times New Roman" w:hAnsiTheme="majorHAnsi" w:cstheme="majorHAnsi"/>
          <w:color w:val="000000"/>
          <w:sz w:val="22"/>
          <w:szCs w:val="22"/>
          <w:lang w:eastAsia="ar-SA"/>
        </w:rPr>
        <w:t xml:space="preserve"> w okresie 180 dni od daty zamknięcia transakcji. Ponadto Juroszek Holding sp. z o.o., czyli akcjonariusz większościowy</w:t>
      </w:r>
      <w:r>
        <w:rPr>
          <w:rFonts w:asciiTheme="majorHAnsi" w:eastAsia="Times New Roman" w:hAnsiTheme="majorHAnsi" w:cstheme="majorHAnsi"/>
          <w:color w:val="000000"/>
          <w:sz w:val="22"/>
          <w:szCs w:val="22"/>
          <w:lang w:eastAsia="ar-SA"/>
        </w:rPr>
        <w:t>,</w:t>
      </w:r>
      <w:r w:rsidRPr="00B71928">
        <w:rPr>
          <w:rFonts w:asciiTheme="majorHAnsi" w:eastAsia="Times New Roman" w:hAnsiTheme="majorHAnsi" w:cstheme="majorHAnsi"/>
          <w:color w:val="000000"/>
          <w:sz w:val="22"/>
          <w:szCs w:val="22"/>
          <w:lang w:eastAsia="ar-SA"/>
        </w:rPr>
        <w:t xml:space="preserve"> zobowiązał się, że również w okresie 180 dni od daty zamknięcia transakcji bez zgody Menadżerów Oferty nie będzie </w:t>
      </w:r>
      <w:r>
        <w:rPr>
          <w:rFonts w:asciiTheme="majorHAnsi" w:eastAsia="Times New Roman" w:hAnsiTheme="majorHAnsi" w:cstheme="majorHAnsi"/>
          <w:color w:val="000000"/>
          <w:sz w:val="22"/>
          <w:szCs w:val="22"/>
          <w:lang w:eastAsia="ar-SA"/>
        </w:rPr>
        <w:t>m.in.</w:t>
      </w:r>
      <w:r w:rsidRPr="00B71928">
        <w:rPr>
          <w:rFonts w:asciiTheme="majorHAnsi" w:eastAsia="Times New Roman" w:hAnsiTheme="majorHAnsi" w:cstheme="majorHAnsi"/>
          <w:color w:val="000000"/>
          <w:sz w:val="22"/>
          <w:szCs w:val="22"/>
          <w:lang w:eastAsia="ar-SA"/>
        </w:rPr>
        <w:t xml:space="preserve"> zastawiać, sprzedawać ani oferować posiadanych akcji </w:t>
      </w:r>
      <w:r>
        <w:rPr>
          <w:rFonts w:asciiTheme="majorHAnsi" w:eastAsia="Times New Roman" w:hAnsiTheme="majorHAnsi" w:cstheme="majorHAnsi"/>
          <w:color w:val="000000"/>
          <w:sz w:val="22"/>
          <w:szCs w:val="22"/>
          <w:lang w:eastAsia="ar-SA"/>
        </w:rPr>
        <w:t>s</w:t>
      </w:r>
      <w:r w:rsidRPr="00B71928">
        <w:rPr>
          <w:rFonts w:asciiTheme="majorHAnsi" w:eastAsia="Times New Roman" w:hAnsiTheme="majorHAnsi" w:cstheme="majorHAnsi"/>
          <w:color w:val="000000"/>
          <w:sz w:val="22"/>
          <w:szCs w:val="22"/>
          <w:lang w:eastAsia="ar-SA"/>
        </w:rPr>
        <w:t>półki.</w:t>
      </w:r>
    </w:p>
    <w:p w14:paraId="68274A42" w14:textId="10AC7F08" w:rsidR="00801290" w:rsidRDefault="008720FE" w:rsidP="007E6473">
      <w:pPr>
        <w:suppressAutoHyphens/>
        <w:autoSpaceDE w:val="0"/>
        <w:spacing w:before="240" w:after="120" w:line="240" w:lineRule="auto"/>
        <w:jc w:val="both"/>
        <w:rPr>
          <w:rFonts w:asciiTheme="majorHAnsi" w:eastAsia="Times New Roman" w:hAnsiTheme="majorHAnsi" w:cstheme="majorHAnsi"/>
          <w:i/>
          <w:iCs/>
          <w:color w:val="000000"/>
          <w:sz w:val="22"/>
          <w:szCs w:val="22"/>
          <w:lang w:eastAsia="ar-SA"/>
        </w:rPr>
      </w:pPr>
      <w:r w:rsidRPr="008720FE">
        <w:rPr>
          <w:rFonts w:asciiTheme="majorHAnsi" w:eastAsia="Times New Roman" w:hAnsiTheme="majorHAnsi" w:cstheme="majorHAnsi"/>
          <w:i/>
          <w:iCs/>
          <w:color w:val="000000"/>
          <w:sz w:val="22"/>
          <w:szCs w:val="22"/>
          <w:lang w:eastAsia="ar-SA"/>
        </w:rPr>
        <w:t xml:space="preserve">Wpływy z nowo emitowanych akcji pozwolą na zakup nowych gruntów w lokalizacjach o szczególnym potencjale oraz </w:t>
      </w:r>
      <w:r w:rsidR="0030568C">
        <w:rPr>
          <w:rFonts w:asciiTheme="majorHAnsi" w:eastAsia="Times New Roman" w:hAnsiTheme="majorHAnsi" w:cstheme="majorHAnsi"/>
          <w:i/>
          <w:iCs/>
          <w:color w:val="000000"/>
          <w:sz w:val="22"/>
          <w:szCs w:val="22"/>
          <w:lang w:eastAsia="ar-SA"/>
        </w:rPr>
        <w:t>realizację</w:t>
      </w:r>
      <w:r w:rsidRPr="008720FE">
        <w:rPr>
          <w:rFonts w:asciiTheme="majorHAnsi" w:eastAsia="Times New Roman" w:hAnsiTheme="majorHAnsi" w:cstheme="majorHAnsi"/>
          <w:i/>
          <w:iCs/>
          <w:color w:val="000000"/>
          <w:sz w:val="22"/>
          <w:szCs w:val="22"/>
          <w:lang w:eastAsia="ar-SA"/>
        </w:rPr>
        <w:t xml:space="preserve"> nowych projektów deweloperskich, których zakończenie planowane jest od początku 2025 r. Ponadto środki przeznaczone zostaną na bieżącą działalność operacyjną oraz efektywniejszą kosztowo realizację dotychczasowych inwestycji mieszkaniowych. </w:t>
      </w:r>
    </w:p>
    <w:p w14:paraId="22F0C8D1" w14:textId="6AD6A651" w:rsidR="008720FE" w:rsidRDefault="008720FE" w:rsidP="007E6473">
      <w:pPr>
        <w:suppressAutoHyphens/>
        <w:autoSpaceDE w:val="0"/>
        <w:spacing w:before="240" w:after="120" w:line="240" w:lineRule="auto"/>
        <w:jc w:val="both"/>
        <w:rPr>
          <w:rFonts w:asciiTheme="majorHAnsi" w:eastAsia="Times New Roman" w:hAnsiTheme="majorHAnsi" w:cstheme="majorHAnsi"/>
          <w:i/>
          <w:iCs/>
          <w:color w:val="000000"/>
          <w:sz w:val="22"/>
          <w:szCs w:val="22"/>
          <w:lang w:eastAsia="ar-SA"/>
        </w:rPr>
      </w:pPr>
      <w:r>
        <w:rPr>
          <w:rFonts w:asciiTheme="majorHAnsi" w:eastAsia="Times New Roman" w:hAnsiTheme="majorHAnsi" w:cstheme="majorHAnsi"/>
          <w:i/>
          <w:iCs/>
          <w:color w:val="000000"/>
          <w:sz w:val="22"/>
          <w:szCs w:val="22"/>
          <w:lang w:eastAsia="ar-SA"/>
        </w:rPr>
        <w:t xml:space="preserve">Warto dodać, że nowa emisja przyczyni się również do zwiększenia </w:t>
      </w:r>
      <w:proofErr w:type="spellStart"/>
      <w:r>
        <w:rPr>
          <w:rFonts w:asciiTheme="majorHAnsi" w:eastAsia="Times New Roman" w:hAnsiTheme="majorHAnsi" w:cstheme="majorHAnsi"/>
          <w:i/>
          <w:iCs/>
          <w:color w:val="000000"/>
          <w:sz w:val="22"/>
          <w:szCs w:val="22"/>
          <w:lang w:eastAsia="ar-SA"/>
        </w:rPr>
        <w:t>free</w:t>
      </w:r>
      <w:proofErr w:type="spellEnd"/>
      <w:r>
        <w:rPr>
          <w:rFonts w:asciiTheme="majorHAnsi" w:eastAsia="Times New Roman" w:hAnsiTheme="majorHAnsi" w:cstheme="majorHAnsi"/>
          <w:i/>
          <w:iCs/>
          <w:color w:val="000000"/>
          <w:sz w:val="22"/>
          <w:szCs w:val="22"/>
          <w:lang w:eastAsia="ar-SA"/>
        </w:rPr>
        <w:t xml:space="preserve"> </w:t>
      </w:r>
      <w:proofErr w:type="spellStart"/>
      <w:r>
        <w:rPr>
          <w:rFonts w:asciiTheme="majorHAnsi" w:eastAsia="Times New Roman" w:hAnsiTheme="majorHAnsi" w:cstheme="majorHAnsi"/>
          <w:i/>
          <w:iCs/>
          <w:color w:val="000000"/>
          <w:sz w:val="22"/>
          <w:szCs w:val="22"/>
          <w:lang w:eastAsia="ar-SA"/>
        </w:rPr>
        <w:t>floatu</w:t>
      </w:r>
      <w:proofErr w:type="spellEnd"/>
      <w:r>
        <w:rPr>
          <w:rFonts w:asciiTheme="majorHAnsi" w:eastAsia="Times New Roman" w:hAnsiTheme="majorHAnsi" w:cstheme="majorHAnsi"/>
          <w:i/>
          <w:iCs/>
          <w:color w:val="000000"/>
          <w:sz w:val="22"/>
          <w:szCs w:val="22"/>
          <w:lang w:eastAsia="ar-SA"/>
        </w:rPr>
        <w:t xml:space="preserve">, pozytywnie wpłynie na płynności akcji spółki i uatrakcyjni jej walory dla inwestorów krajowych i zagranicznych </w:t>
      </w:r>
    </w:p>
    <w:p w14:paraId="3CAE7BBA" w14:textId="2932519E" w:rsidR="008720FE" w:rsidRPr="008720FE" w:rsidRDefault="008720FE" w:rsidP="008720FE">
      <w:pPr>
        <w:pStyle w:val="Bezodstpw"/>
        <w:jc w:val="right"/>
        <w:rPr>
          <w:rFonts w:asciiTheme="majorHAnsi" w:eastAsia="Times New Roman" w:hAnsiTheme="majorHAnsi" w:cstheme="majorHAnsi"/>
          <w:i/>
          <w:iCs/>
          <w:color w:val="000000"/>
          <w:sz w:val="22"/>
          <w:szCs w:val="22"/>
          <w:lang w:eastAsia="ar-SA"/>
        </w:rPr>
      </w:pPr>
      <w:r>
        <w:rPr>
          <w:rFonts w:asciiTheme="majorHAnsi" w:eastAsia="Times New Roman" w:hAnsiTheme="majorHAnsi" w:cstheme="majorHAnsi"/>
          <w:b/>
          <w:bCs/>
          <w:i/>
          <w:iCs/>
          <w:lang w:eastAsia="ar-SA"/>
        </w:rPr>
        <w:t>– mówi</w:t>
      </w:r>
      <w:r>
        <w:rPr>
          <w:rFonts w:asciiTheme="majorHAnsi" w:eastAsia="Times New Roman" w:hAnsiTheme="majorHAnsi" w:cstheme="majorHAnsi"/>
          <w:i/>
          <w:iCs/>
          <w:lang w:eastAsia="ar-SA"/>
        </w:rPr>
        <w:t xml:space="preserve"> </w:t>
      </w:r>
      <w:r>
        <w:rPr>
          <w:rFonts w:asciiTheme="majorHAnsi" w:eastAsia="Times New Roman" w:hAnsiTheme="majorHAnsi" w:cstheme="majorHAnsi"/>
          <w:b/>
          <w:bCs/>
          <w:i/>
          <w:iCs/>
          <w:lang w:eastAsia="ar-SA"/>
        </w:rPr>
        <w:t>Zbigniew Juroszek, prezes ATAL S.A.</w:t>
      </w:r>
    </w:p>
    <w:p w14:paraId="0AB71313" w14:textId="71CF92DF" w:rsidR="00801290" w:rsidRPr="00801290" w:rsidRDefault="00801290" w:rsidP="00801290">
      <w:pPr>
        <w:suppressAutoHyphens/>
        <w:autoSpaceDE w:val="0"/>
        <w:spacing w:before="240" w:after="120" w:line="240" w:lineRule="auto"/>
        <w:jc w:val="both"/>
        <w:rPr>
          <w:rFonts w:asciiTheme="majorHAnsi" w:eastAsia="Times New Roman" w:hAnsiTheme="majorHAnsi" w:cstheme="majorHAnsi"/>
          <w:color w:val="000000"/>
          <w:sz w:val="22"/>
          <w:szCs w:val="22"/>
          <w:lang w:eastAsia="ar-SA"/>
        </w:rPr>
      </w:pPr>
      <w:r w:rsidRPr="00801290">
        <w:rPr>
          <w:rFonts w:asciiTheme="majorHAnsi" w:eastAsia="Times New Roman" w:hAnsiTheme="majorHAnsi" w:cstheme="majorHAnsi"/>
          <w:color w:val="000000"/>
          <w:sz w:val="22"/>
          <w:szCs w:val="22"/>
          <w:lang w:eastAsia="ar-SA"/>
        </w:rPr>
        <w:t xml:space="preserve">W pierwszym półroczu 2023 Grupa ATAL zakontraktowała 1142 mieszkania. W drugim kwartale br. było to 740 mieszkań. W Q2 2022 kontraktacja wyniosła 582 lokale. Od początku marca br. Grupa odnotowała zauważalny wzrost zainteresowania ofertą, który przekłada się na liczbę podpisywanych umów deweloperskich i przedwstępnych. W pierwszym półroczu </w:t>
      </w:r>
      <w:r>
        <w:rPr>
          <w:rFonts w:asciiTheme="majorHAnsi" w:eastAsia="Times New Roman" w:hAnsiTheme="majorHAnsi" w:cstheme="majorHAnsi"/>
          <w:color w:val="000000"/>
          <w:sz w:val="22"/>
          <w:szCs w:val="22"/>
          <w:lang w:eastAsia="ar-SA"/>
        </w:rPr>
        <w:t>br. ATAL przekazał 959 lokali mieszkalnych i usługowych. W drugiej połowie roku liczba wydań powinna być wyższa.</w:t>
      </w:r>
    </w:p>
    <w:p w14:paraId="3D1BFC57" w14:textId="13962E0A" w:rsidR="007E6473" w:rsidRDefault="007E6473" w:rsidP="007E6473">
      <w:pPr>
        <w:suppressAutoHyphens/>
        <w:autoSpaceDE w:val="0"/>
        <w:spacing w:before="240" w:after="120" w:line="240" w:lineRule="auto"/>
        <w:jc w:val="both"/>
        <w:rPr>
          <w:rFonts w:asciiTheme="majorHAnsi" w:eastAsia="Times New Roman" w:hAnsiTheme="majorHAnsi" w:cstheme="majorHAnsi"/>
          <w:i/>
          <w:iCs/>
          <w:color w:val="000000"/>
          <w:sz w:val="22"/>
          <w:szCs w:val="22"/>
          <w:lang w:eastAsia="ar-SA"/>
        </w:rPr>
      </w:pPr>
      <w:r>
        <w:rPr>
          <w:rFonts w:asciiTheme="majorHAnsi" w:eastAsia="Times New Roman" w:hAnsiTheme="majorHAnsi" w:cstheme="majorHAnsi"/>
          <w:i/>
          <w:iCs/>
          <w:color w:val="000000"/>
          <w:sz w:val="22"/>
          <w:szCs w:val="22"/>
          <w:lang w:eastAsia="ar-SA"/>
        </w:rPr>
        <w:t>Zgodnie z naszymi przewidywaniami od marca br. obserw</w:t>
      </w:r>
      <w:r w:rsidR="00801290">
        <w:rPr>
          <w:rFonts w:asciiTheme="majorHAnsi" w:eastAsia="Times New Roman" w:hAnsiTheme="majorHAnsi" w:cstheme="majorHAnsi"/>
          <w:i/>
          <w:iCs/>
          <w:color w:val="000000"/>
          <w:sz w:val="22"/>
          <w:szCs w:val="22"/>
          <w:lang w:eastAsia="ar-SA"/>
        </w:rPr>
        <w:t>ujemy</w:t>
      </w:r>
      <w:r>
        <w:rPr>
          <w:rFonts w:asciiTheme="majorHAnsi" w:eastAsia="Times New Roman" w:hAnsiTheme="majorHAnsi" w:cstheme="majorHAnsi"/>
          <w:i/>
          <w:iCs/>
          <w:color w:val="000000"/>
          <w:sz w:val="22"/>
          <w:szCs w:val="22"/>
          <w:lang w:eastAsia="ar-SA"/>
        </w:rPr>
        <w:t xml:space="preserve"> zwiększone zainteresowanie naszą ofertą ze strony potencjalnych nabywców. Klienci najczęściej pytali o lokale z inwestycji, których zakończenie prac budowlanych ma nastąpić do 12 miesięcy. Zgodnie z naszymi przewidywaniami w drugim kwartale br.</w:t>
      </w:r>
      <w:r w:rsidR="007158EE">
        <w:rPr>
          <w:rFonts w:asciiTheme="majorHAnsi" w:eastAsia="Times New Roman" w:hAnsiTheme="majorHAnsi" w:cstheme="majorHAnsi"/>
          <w:i/>
          <w:iCs/>
          <w:color w:val="000000"/>
          <w:sz w:val="22"/>
          <w:szCs w:val="22"/>
          <w:lang w:eastAsia="ar-SA"/>
        </w:rPr>
        <w:t xml:space="preserve"> kontraktacja wyraźnie wzrosła, </w:t>
      </w:r>
      <w:r>
        <w:rPr>
          <w:rFonts w:asciiTheme="majorHAnsi" w:eastAsia="Times New Roman" w:hAnsiTheme="majorHAnsi" w:cstheme="majorHAnsi"/>
          <w:i/>
          <w:iCs/>
          <w:color w:val="000000"/>
          <w:sz w:val="22"/>
          <w:szCs w:val="22"/>
          <w:lang w:eastAsia="ar-SA"/>
        </w:rPr>
        <w:t xml:space="preserve">m.in. ze względu na łagodniejszą politykę banków w </w:t>
      </w:r>
      <w:r>
        <w:rPr>
          <w:rFonts w:asciiTheme="majorHAnsi" w:eastAsia="Times New Roman" w:hAnsiTheme="majorHAnsi" w:cstheme="majorHAnsi"/>
          <w:i/>
          <w:iCs/>
          <w:color w:val="000000"/>
          <w:sz w:val="22"/>
          <w:szCs w:val="22"/>
          <w:lang w:eastAsia="ar-SA"/>
        </w:rPr>
        <w:lastRenderedPageBreak/>
        <w:t xml:space="preserve">kontekście hipotek, nasz autorski program </w:t>
      </w:r>
      <w:r w:rsidRPr="007E6473">
        <w:rPr>
          <w:rFonts w:asciiTheme="majorHAnsi" w:eastAsia="Times New Roman" w:hAnsiTheme="majorHAnsi" w:cstheme="majorHAnsi"/>
          <w:b/>
          <w:bCs/>
          <w:i/>
          <w:iCs/>
          <w:color w:val="000000"/>
          <w:sz w:val="22"/>
          <w:szCs w:val="22"/>
          <w:lang w:eastAsia="ar-SA"/>
        </w:rPr>
        <w:t>„Czas na mieszkanie”</w:t>
      </w:r>
      <w:r w:rsidRPr="00284E1B">
        <w:rPr>
          <w:rFonts w:asciiTheme="majorHAnsi" w:eastAsia="Times New Roman" w:hAnsiTheme="majorHAnsi" w:cstheme="majorHAnsi"/>
          <w:i/>
          <w:iCs/>
          <w:color w:val="000000"/>
          <w:sz w:val="22"/>
          <w:szCs w:val="22"/>
          <w:lang w:eastAsia="ar-SA"/>
        </w:rPr>
        <w:t xml:space="preserve"> oraz </w:t>
      </w:r>
      <w:r>
        <w:rPr>
          <w:rFonts w:asciiTheme="majorHAnsi" w:eastAsia="Times New Roman" w:hAnsiTheme="majorHAnsi" w:cstheme="majorHAnsi"/>
          <w:i/>
          <w:iCs/>
          <w:color w:val="000000"/>
          <w:sz w:val="22"/>
          <w:szCs w:val="22"/>
          <w:lang w:eastAsia="ar-SA"/>
        </w:rPr>
        <w:t>nowy</w:t>
      </w:r>
      <w:r w:rsidRPr="00284E1B">
        <w:rPr>
          <w:rFonts w:asciiTheme="majorHAnsi" w:eastAsia="Times New Roman" w:hAnsiTheme="majorHAnsi" w:cstheme="majorHAnsi"/>
          <w:i/>
          <w:iCs/>
          <w:color w:val="000000"/>
          <w:sz w:val="22"/>
          <w:szCs w:val="22"/>
          <w:lang w:eastAsia="ar-SA"/>
        </w:rPr>
        <w:t xml:space="preserve"> rządow</w:t>
      </w:r>
      <w:r>
        <w:rPr>
          <w:rFonts w:asciiTheme="majorHAnsi" w:eastAsia="Times New Roman" w:hAnsiTheme="majorHAnsi" w:cstheme="majorHAnsi"/>
          <w:i/>
          <w:iCs/>
          <w:color w:val="000000"/>
          <w:sz w:val="22"/>
          <w:szCs w:val="22"/>
          <w:lang w:eastAsia="ar-SA"/>
        </w:rPr>
        <w:t>y</w:t>
      </w:r>
      <w:r w:rsidRPr="00284E1B">
        <w:rPr>
          <w:rFonts w:asciiTheme="majorHAnsi" w:eastAsia="Times New Roman" w:hAnsiTheme="majorHAnsi" w:cstheme="majorHAnsi"/>
          <w:i/>
          <w:iCs/>
          <w:color w:val="000000"/>
          <w:sz w:val="22"/>
          <w:szCs w:val="22"/>
          <w:lang w:eastAsia="ar-SA"/>
        </w:rPr>
        <w:t xml:space="preserve"> program </w:t>
      </w:r>
      <w:r w:rsidR="00AF4389" w:rsidRPr="00AF4389">
        <w:rPr>
          <w:rFonts w:asciiTheme="majorHAnsi" w:eastAsia="Times New Roman" w:hAnsiTheme="majorHAnsi" w:cstheme="majorHAnsi"/>
          <w:b/>
          <w:bCs/>
          <w:i/>
          <w:iCs/>
          <w:color w:val="000000"/>
          <w:sz w:val="22"/>
          <w:szCs w:val="22"/>
          <w:lang w:eastAsia="ar-SA"/>
        </w:rPr>
        <w:t>Bezpieczny Kredyt</w:t>
      </w:r>
      <w:r w:rsidRPr="00AF4389">
        <w:rPr>
          <w:rFonts w:asciiTheme="majorHAnsi" w:eastAsia="Times New Roman" w:hAnsiTheme="majorHAnsi" w:cstheme="majorHAnsi"/>
          <w:b/>
          <w:bCs/>
          <w:i/>
          <w:iCs/>
          <w:color w:val="000000"/>
          <w:sz w:val="22"/>
          <w:szCs w:val="22"/>
          <w:lang w:eastAsia="ar-SA"/>
        </w:rPr>
        <w:t xml:space="preserve"> 2%</w:t>
      </w:r>
      <w:r w:rsidR="007158EE">
        <w:rPr>
          <w:rFonts w:asciiTheme="majorHAnsi" w:eastAsia="Times New Roman" w:hAnsiTheme="majorHAnsi" w:cstheme="majorHAnsi"/>
          <w:i/>
          <w:iCs/>
          <w:color w:val="000000"/>
          <w:sz w:val="22"/>
          <w:szCs w:val="22"/>
          <w:lang w:eastAsia="ar-SA"/>
        </w:rPr>
        <w:t>.</w:t>
      </w:r>
      <w:r>
        <w:rPr>
          <w:rFonts w:asciiTheme="majorHAnsi" w:eastAsia="Times New Roman" w:hAnsiTheme="majorHAnsi" w:cstheme="majorHAnsi"/>
          <w:i/>
          <w:iCs/>
          <w:color w:val="000000"/>
          <w:sz w:val="22"/>
          <w:szCs w:val="22"/>
          <w:lang w:eastAsia="ar-SA"/>
        </w:rPr>
        <w:t xml:space="preserve"> </w:t>
      </w:r>
      <w:r w:rsidR="00801290">
        <w:rPr>
          <w:rFonts w:asciiTheme="majorHAnsi" w:eastAsia="Times New Roman" w:hAnsiTheme="majorHAnsi" w:cstheme="majorHAnsi"/>
          <w:i/>
          <w:iCs/>
          <w:color w:val="000000"/>
          <w:sz w:val="22"/>
          <w:szCs w:val="22"/>
          <w:lang w:eastAsia="ar-SA"/>
        </w:rPr>
        <w:t xml:space="preserve">W naszej ofercie jest blisko </w:t>
      </w:r>
      <w:r w:rsidR="00801290" w:rsidRPr="00801290">
        <w:rPr>
          <w:rFonts w:asciiTheme="majorHAnsi" w:eastAsia="Times New Roman" w:hAnsiTheme="majorHAnsi" w:cstheme="majorHAnsi"/>
          <w:b/>
          <w:bCs/>
          <w:i/>
          <w:iCs/>
          <w:color w:val="000000"/>
          <w:sz w:val="22"/>
          <w:szCs w:val="22"/>
          <w:lang w:eastAsia="ar-SA"/>
        </w:rPr>
        <w:t>3000 mieszkań</w:t>
      </w:r>
      <w:r w:rsidR="00801290">
        <w:rPr>
          <w:rFonts w:asciiTheme="majorHAnsi" w:eastAsia="Times New Roman" w:hAnsiTheme="majorHAnsi" w:cstheme="majorHAnsi"/>
          <w:i/>
          <w:iCs/>
          <w:color w:val="000000"/>
          <w:sz w:val="22"/>
          <w:szCs w:val="22"/>
          <w:lang w:eastAsia="ar-SA"/>
        </w:rPr>
        <w:t>, które kwalifikują się do wsparcia</w:t>
      </w:r>
    </w:p>
    <w:p w14:paraId="454D9AB7" w14:textId="45DC9792" w:rsidR="00B71928" w:rsidRDefault="007E6473" w:rsidP="007E6473">
      <w:pPr>
        <w:pStyle w:val="Bezodstpw"/>
        <w:jc w:val="right"/>
        <w:rPr>
          <w:rFonts w:asciiTheme="majorHAnsi" w:eastAsia="Times New Roman" w:hAnsiTheme="majorHAnsi" w:cstheme="majorHAnsi"/>
          <w:i/>
          <w:iCs/>
          <w:lang w:eastAsia="ar-SA"/>
        </w:rPr>
      </w:pPr>
      <w:r>
        <w:rPr>
          <w:rFonts w:asciiTheme="majorHAnsi" w:eastAsia="Times New Roman" w:hAnsiTheme="majorHAnsi" w:cstheme="majorHAnsi"/>
          <w:b/>
          <w:bCs/>
          <w:i/>
          <w:iCs/>
          <w:lang w:eastAsia="ar-SA"/>
        </w:rPr>
        <w:t xml:space="preserve">– </w:t>
      </w:r>
      <w:r w:rsidR="00801290">
        <w:rPr>
          <w:rFonts w:asciiTheme="majorHAnsi" w:eastAsia="Times New Roman" w:hAnsiTheme="majorHAnsi" w:cstheme="majorHAnsi"/>
          <w:b/>
          <w:bCs/>
          <w:i/>
          <w:iCs/>
          <w:lang w:eastAsia="ar-SA"/>
        </w:rPr>
        <w:t>dodaje</w:t>
      </w:r>
      <w:r>
        <w:rPr>
          <w:rFonts w:asciiTheme="majorHAnsi" w:eastAsia="Times New Roman" w:hAnsiTheme="majorHAnsi" w:cstheme="majorHAnsi"/>
          <w:i/>
          <w:iCs/>
          <w:lang w:eastAsia="ar-SA"/>
        </w:rPr>
        <w:t xml:space="preserve"> </w:t>
      </w:r>
      <w:r>
        <w:rPr>
          <w:rFonts w:asciiTheme="majorHAnsi" w:eastAsia="Times New Roman" w:hAnsiTheme="majorHAnsi" w:cstheme="majorHAnsi"/>
          <w:b/>
          <w:bCs/>
          <w:i/>
          <w:iCs/>
          <w:lang w:eastAsia="ar-SA"/>
        </w:rPr>
        <w:t>Zbigniew Juroszek</w:t>
      </w:r>
      <w:r w:rsidR="00801290">
        <w:rPr>
          <w:rFonts w:asciiTheme="majorHAnsi" w:eastAsia="Times New Roman" w:hAnsiTheme="majorHAnsi" w:cstheme="majorHAnsi"/>
          <w:b/>
          <w:bCs/>
          <w:i/>
          <w:iCs/>
          <w:lang w:eastAsia="ar-SA"/>
        </w:rPr>
        <w:t>.</w:t>
      </w:r>
    </w:p>
    <w:p w14:paraId="7CD051FA" w14:textId="77777777" w:rsidR="0055278E" w:rsidRDefault="0055278E" w:rsidP="006568BF">
      <w:pPr>
        <w:pStyle w:val="Bezodstpw"/>
        <w:jc w:val="right"/>
        <w:rPr>
          <w:rFonts w:asciiTheme="majorHAnsi" w:eastAsia="Times New Roman" w:hAnsiTheme="majorHAnsi" w:cstheme="majorHAnsi"/>
          <w:i/>
          <w:iCs/>
          <w:lang w:eastAsia="ar-SA"/>
        </w:rPr>
      </w:pPr>
    </w:p>
    <w:p w14:paraId="352EF31D" w14:textId="592E2DB4" w:rsidR="0055278E" w:rsidRPr="005C3B25" w:rsidRDefault="0055278E" w:rsidP="0055278E">
      <w:pPr>
        <w:spacing w:line="240" w:lineRule="auto"/>
        <w:jc w:val="both"/>
        <w:rPr>
          <w:rFonts w:asciiTheme="majorHAnsi" w:hAnsiTheme="majorHAnsi" w:cstheme="majorHAnsi"/>
          <w:sz w:val="22"/>
          <w:szCs w:val="22"/>
        </w:rPr>
      </w:pPr>
      <w:r>
        <w:rPr>
          <w:rFonts w:asciiTheme="majorHAnsi" w:hAnsiTheme="majorHAnsi" w:cstheme="majorHAnsi"/>
          <w:sz w:val="22"/>
          <w:szCs w:val="22"/>
        </w:rPr>
        <w:t>Klienci przystępujący do programu</w:t>
      </w:r>
      <w:r w:rsidR="007E6473">
        <w:rPr>
          <w:rFonts w:asciiTheme="majorHAnsi" w:hAnsiTheme="majorHAnsi" w:cstheme="majorHAnsi"/>
          <w:sz w:val="22"/>
          <w:szCs w:val="22"/>
        </w:rPr>
        <w:t xml:space="preserve"> ATAL</w:t>
      </w:r>
      <w:r>
        <w:rPr>
          <w:rFonts w:asciiTheme="majorHAnsi" w:hAnsiTheme="majorHAnsi" w:cstheme="majorHAnsi"/>
          <w:sz w:val="22"/>
          <w:szCs w:val="22"/>
        </w:rPr>
        <w:t xml:space="preserve"> „</w:t>
      </w:r>
      <w:r w:rsidRPr="00303304">
        <w:rPr>
          <w:rFonts w:asciiTheme="majorHAnsi" w:hAnsiTheme="majorHAnsi" w:cstheme="majorHAnsi"/>
          <w:b/>
          <w:bCs/>
          <w:sz w:val="22"/>
          <w:szCs w:val="22"/>
        </w:rPr>
        <w:t>Czas na mieszkanie</w:t>
      </w:r>
      <w:r>
        <w:rPr>
          <w:rFonts w:asciiTheme="majorHAnsi" w:hAnsiTheme="majorHAnsi" w:cstheme="majorHAnsi"/>
          <w:sz w:val="22"/>
          <w:szCs w:val="22"/>
        </w:rPr>
        <w:t xml:space="preserve">” </w:t>
      </w:r>
      <w:r w:rsidRPr="00303304">
        <w:rPr>
          <w:rFonts w:asciiTheme="majorHAnsi" w:hAnsiTheme="majorHAnsi" w:cstheme="majorHAnsi"/>
          <w:sz w:val="22"/>
          <w:szCs w:val="22"/>
        </w:rPr>
        <w:t>podpisuj</w:t>
      </w:r>
      <w:r>
        <w:rPr>
          <w:rFonts w:asciiTheme="majorHAnsi" w:hAnsiTheme="majorHAnsi" w:cstheme="majorHAnsi"/>
          <w:sz w:val="22"/>
          <w:szCs w:val="22"/>
        </w:rPr>
        <w:t>ą</w:t>
      </w:r>
      <w:r w:rsidRPr="00303304">
        <w:rPr>
          <w:rFonts w:asciiTheme="majorHAnsi" w:hAnsiTheme="majorHAnsi" w:cstheme="majorHAnsi"/>
          <w:sz w:val="22"/>
          <w:szCs w:val="22"/>
        </w:rPr>
        <w:t xml:space="preserve"> umowę </w:t>
      </w:r>
      <w:r>
        <w:rPr>
          <w:rFonts w:asciiTheme="majorHAnsi" w:hAnsiTheme="majorHAnsi" w:cstheme="majorHAnsi"/>
          <w:sz w:val="22"/>
          <w:szCs w:val="22"/>
        </w:rPr>
        <w:t xml:space="preserve">deweloperską </w:t>
      </w:r>
      <w:r w:rsidRPr="00303304">
        <w:rPr>
          <w:rFonts w:asciiTheme="majorHAnsi" w:hAnsiTheme="majorHAnsi" w:cstheme="majorHAnsi"/>
          <w:sz w:val="22"/>
          <w:szCs w:val="22"/>
        </w:rPr>
        <w:t xml:space="preserve">bez </w:t>
      </w:r>
      <w:r>
        <w:rPr>
          <w:rFonts w:asciiTheme="majorHAnsi" w:hAnsiTheme="majorHAnsi" w:cstheme="majorHAnsi"/>
          <w:sz w:val="22"/>
          <w:szCs w:val="22"/>
        </w:rPr>
        <w:t xml:space="preserve">żadnego </w:t>
      </w:r>
      <w:r w:rsidRPr="00303304">
        <w:rPr>
          <w:rFonts w:asciiTheme="majorHAnsi" w:hAnsiTheme="majorHAnsi" w:cstheme="majorHAnsi"/>
          <w:sz w:val="22"/>
          <w:szCs w:val="22"/>
        </w:rPr>
        <w:t>ryzyka</w:t>
      </w:r>
      <w:r>
        <w:rPr>
          <w:rFonts w:asciiTheme="majorHAnsi" w:hAnsiTheme="majorHAnsi" w:cstheme="majorHAnsi"/>
          <w:sz w:val="22"/>
          <w:szCs w:val="22"/>
        </w:rPr>
        <w:t xml:space="preserve">, która </w:t>
      </w:r>
      <w:r w:rsidRPr="00303304">
        <w:rPr>
          <w:rFonts w:asciiTheme="majorHAnsi" w:hAnsiTheme="majorHAnsi" w:cstheme="majorHAnsi"/>
          <w:sz w:val="22"/>
          <w:szCs w:val="22"/>
        </w:rPr>
        <w:t xml:space="preserve">zobowiązuje </w:t>
      </w:r>
      <w:r>
        <w:rPr>
          <w:rFonts w:asciiTheme="majorHAnsi" w:hAnsiTheme="majorHAnsi" w:cstheme="majorHAnsi"/>
          <w:sz w:val="22"/>
          <w:szCs w:val="22"/>
        </w:rPr>
        <w:t xml:space="preserve">ich </w:t>
      </w:r>
      <w:r w:rsidRPr="00303304">
        <w:rPr>
          <w:rFonts w:asciiTheme="majorHAnsi" w:hAnsiTheme="majorHAnsi" w:cstheme="majorHAnsi"/>
          <w:sz w:val="22"/>
          <w:szCs w:val="22"/>
        </w:rPr>
        <w:t>do wpłaty jedynie 20</w:t>
      </w:r>
      <w:r>
        <w:rPr>
          <w:rFonts w:asciiTheme="majorHAnsi" w:hAnsiTheme="majorHAnsi" w:cstheme="majorHAnsi"/>
          <w:sz w:val="22"/>
          <w:szCs w:val="22"/>
        </w:rPr>
        <w:t xml:space="preserve"> proc. </w:t>
      </w:r>
      <w:r w:rsidRPr="00303304">
        <w:rPr>
          <w:rFonts w:asciiTheme="majorHAnsi" w:hAnsiTheme="majorHAnsi" w:cstheme="majorHAnsi"/>
          <w:sz w:val="22"/>
          <w:szCs w:val="22"/>
        </w:rPr>
        <w:t>wartości mieszkania</w:t>
      </w:r>
      <w:r>
        <w:rPr>
          <w:rFonts w:asciiTheme="majorHAnsi" w:hAnsiTheme="majorHAnsi" w:cstheme="majorHAnsi"/>
          <w:sz w:val="22"/>
          <w:szCs w:val="22"/>
        </w:rPr>
        <w:t xml:space="preserve"> i jednocześnie gwarantuje niezmienność ceny. Co ważne, d</w:t>
      </w:r>
      <w:r w:rsidRPr="00303304">
        <w:rPr>
          <w:rFonts w:asciiTheme="majorHAnsi" w:hAnsiTheme="majorHAnsi" w:cstheme="majorHAnsi"/>
          <w:sz w:val="22"/>
          <w:szCs w:val="22"/>
        </w:rPr>
        <w:t xml:space="preserve">o końca września 2023 roku odstąpienie od umowy </w:t>
      </w:r>
      <w:r w:rsidRPr="005C3B25">
        <w:rPr>
          <w:rFonts w:asciiTheme="majorHAnsi" w:hAnsiTheme="majorHAnsi" w:cstheme="majorHAnsi"/>
          <w:sz w:val="22"/>
          <w:szCs w:val="22"/>
        </w:rPr>
        <w:t xml:space="preserve">z powodu braku uzyskania finansowania, </w:t>
      </w:r>
      <w:r w:rsidRPr="005C3B25">
        <w:rPr>
          <w:rFonts w:ascii="Calibri Light" w:hAnsi="Calibri Light" w:cs="Calibri Light"/>
          <w:color w:val="222222"/>
          <w:sz w:val="22"/>
          <w:szCs w:val="22"/>
          <w:shd w:val="clear" w:color="auto" w:fill="FFFFFF"/>
        </w:rPr>
        <w:t>nie będzie wiązało się z utratą jakiejkolwiek części wpłaconej na początku zaliczki</w:t>
      </w:r>
      <w:r w:rsidRPr="005C3B25">
        <w:rPr>
          <w:rFonts w:asciiTheme="majorHAnsi" w:hAnsiTheme="majorHAnsi" w:cstheme="majorHAnsi"/>
          <w:sz w:val="22"/>
          <w:szCs w:val="22"/>
        </w:rPr>
        <w:t>.</w:t>
      </w:r>
    </w:p>
    <w:p w14:paraId="2E162F43" w14:textId="34C4A592" w:rsidR="00B066BC" w:rsidRPr="00B066BC" w:rsidRDefault="00B066BC" w:rsidP="00B066BC">
      <w:pPr>
        <w:suppressAutoHyphens/>
        <w:autoSpaceDE w:val="0"/>
        <w:spacing w:before="240" w:after="120" w:line="240" w:lineRule="auto"/>
        <w:jc w:val="both"/>
        <w:rPr>
          <w:rFonts w:asciiTheme="majorHAnsi" w:eastAsia="Times New Roman" w:hAnsiTheme="majorHAnsi" w:cstheme="majorHAnsi"/>
          <w:color w:val="000000"/>
          <w:sz w:val="22"/>
          <w:szCs w:val="22"/>
          <w:lang w:eastAsia="ar-SA"/>
        </w:rPr>
      </w:pPr>
      <w:r w:rsidRPr="00B066BC">
        <w:rPr>
          <w:rFonts w:asciiTheme="majorHAnsi" w:eastAsia="Times New Roman" w:hAnsiTheme="majorHAnsi" w:cstheme="majorHAnsi"/>
          <w:color w:val="000000"/>
          <w:sz w:val="22"/>
          <w:szCs w:val="22"/>
          <w:lang w:eastAsia="ar-SA"/>
        </w:rPr>
        <w:t xml:space="preserve">W </w:t>
      </w:r>
      <w:r>
        <w:rPr>
          <w:rFonts w:asciiTheme="majorHAnsi" w:eastAsia="Times New Roman" w:hAnsiTheme="majorHAnsi" w:cstheme="majorHAnsi"/>
          <w:color w:val="000000"/>
          <w:sz w:val="22"/>
          <w:szCs w:val="22"/>
          <w:lang w:eastAsia="ar-SA"/>
        </w:rPr>
        <w:t xml:space="preserve">2023 </w:t>
      </w:r>
      <w:r w:rsidRPr="00B066BC">
        <w:rPr>
          <w:rFonts w:asciiTheme="majorHAnsi" w:eastAsia="Times New Roman" w:hAnsiTheme="majorHAnsi" w:cstheme="majorHAnsi"/>
          <w:color w:val="000000"/>
          <w:sz w:val="22"/>
          <w:szCs w:val="22"/>
          <w:lang w:eastAsia="ar-SA"/>
        </w:rPr>
        <w:t xml:space="preserve">roku Grupa planuje wprowadzić do sprzedaży </w:t>
      </w:r>
      <w:r w:rsidR="0030568C">
        <w:rPr>
          <w:rFonts w:asciiTheme="majorHAnsi" w:eastAsia="Times New Roman" w:hAnsiTheme="majorHAnsi" w:cstheme="majorHAnsi"/>
          <w:color w:val="000000"/>
          <w:sz w:val="22"/>
          <w:szCs w:val="22"/>
          <w:lang w:eastAsia="ar-SA"/>
        </w:rPr>
        <w:t>nawet 28 projektów deweloperskich</w:t>
      </w:r>
      <w:r w:rsidRPr="00B066BC">
        <w:rPr>
          <w:rFonts w:asciiTheme="majorHAnsi" w:eastAsia="Times New Roman" w:hAnsiTheme="majorHAnsi" w:cstheme="majorHAnsi"/>
          <w:color w:val="000000"/>
          <w:sz w:val="22"/>
          <w:szCs w:val="22"/>
          <w:lang w:eastAsia="ar-SA"/>
        </w:rPr>
        <w:t>. Ponadto Grupa posiada już odpowiednie zasoby gruntów pozwalające na uruchomienie lub rozpoczęcie przygotowań do przedsięwzięć deweloperskich w kolejnych latach. Według wstępnych założeń ATAL S.A., na dotychczas posiadanych gruntach, będzie mogła zrealizować i przekazać w latach 2023-2028 ok. 83 przedsięwzięcia na prawie 1</w:t>
      </w:r>
      <w:r>
        <w:rPr>
          <w:rFonts w:asciiTheme="majorHAnsi" w:eastAsia="Times New Roman" w:hAnsiTheme="majorHAnsi" w:cstheme="majorHAnsi"/>
          <w:color w:val="000000"/>
          <w:sz w:val="22"/>
          <w:szCs w:val="22"/>
          <w:lang w:eastAsia="ar-SA"/>
        </w:rPr>
        <w:t>,</w:t>
      </w:r>
      <w:r w:rsidRPr="00B066BC">
        <w:rPr>
          <w:rFonts w:asciiTheme="majorHAnsi" w:eastAsia="Times New Roman" w:hAnsiTheme="majorHAnsi" w:cstheme="majorHAnsi"/>
          <w:color w:val="000000"/>
          <w:sz w:val="22"/>
          <w:szCs w:val="22"/>
          <w:lang w:eastAsia="ar-SA"/>
        </w:rPr>
        <w:t>2 mln mkw. PUM. Tylko w zeszłym roku Grupa ATAL nabyła nowe grunty pod inwestycje za kwotę 373 mln zł, na łączny PUM 402 tys. mkw.</w:t>
      </w:r>
    </w:p>
    <w:p w14:paraId="55F0AC8A" w14:textId="7C3BCF42" w:rsidR="006C11A9" w:rsidRDefault="00473ECA" w:rsidP="00B066BC">
      <w:pPr>
        <w:suppressAutoHyphens/>
        <w:autoSpaceDE w:val="0"/>
        <w:spacing w:before="240" w:after="120" w:line="240" w:lineRule="auto"/>
        <w:jc w:val="both"/>
        <w:rPr>
          <w:rFonts w:asciiTheme="majorHAnsi" w:eastAsia="Times New Roman" w:hAnsiTheme="majorHAnsi" w:cstheme="majorHAnsi"/>
          <w:color w:val="000000"/>
          <w:sz w:val="22"/>
          <w:szCs w:val="22"/>
          <w:lang w:eastAsia="ar-SA"/>
        </w:rPr>
      </w:pPr>
      <w:r w:rsidRPr="00473ECA">
        <w:rPr>
          <w:rFonts w:asciiTheme="majorHAnsi" w:eastAsia="Times New Roman" w:hAnsiTheme="majorHAnsi" w:cstheme="majorHAnsi"/>
          <w:color w:val="000000"/>
          <w:sz w:val="22"/>
          <w:szCs w:val="22"/>
          <w:lang w:eastAsia="ar-SA"/>
        </w:rPr>
        <w:t xml:space="preserve">W dniu </w:t>
      </w:r>
      <w:r w:rsidR="0055278E">
        <w:rPr>
          <w:rFonts w:asciiTheme="majorHAnsi" w:eastAsia="Times New Roman" w:hAnsiTheme="majorHAnsi" w:cstheme="majorHAnsi"/>
          <w:color w:val="000000"/>
          <w:sz w:val="22"/>
          <w:szCs w:val="22"/>
          <w:lang w:eastAsia="ar-SA"/>
        </w:rPr>
        <w:t xml:space="preserve">3 lipca 2023 roku ATAL </w:t>
      </w:r>
      <w:r w:rsidRPr="00473ECA">
        <w:rPr>
          <w:rFonts w:asciiTheme="majorHAnsi" w:eastAsia="Times New Roman" w:hAnsiTheme="majorHAnsi" w:cstheme="majorHAnsi"/>
          <w:color w:val="000000"/>
          <w:sz w:val="22"/>
          <w:szCs w:val="22"/>
          <w:lang w:eastAsia="ar-SA"/>
        </w:rPr>
        <w:t>wypła</w:t>
      </w:r>
      <w:r w:rsidR="0055278E">
        <w:rPr>
          <w:rFonts w:asciiTheme="majorHAnsi" w:eastAsia="Times New Roman" w:hAnsiTheme="majorHAnsi" w:cstheme="majorHAnsi"/>
          <w:color w:val="000000"/>
          <w:sz w:val="22"/>
          <w:szCs w:val="22"/>
          <w:lang w:eastAsia="ar-SA"/>
        </w:rPr>
        <w:t>cił</w:t>
      </w:r>
      <w:r w:rsidRPr="00473ECA">
        <w:rPr>
          <w:rFonts w:asciiTheme="majorHAnsi" w:eastAsia="Times New Roman" w:hAnsiTheme="majorHAnsi" w:cstheme="majorHAnsi"/>
          <w:color w:val="000000"/>
          <w:sz w:val="22"/>
          <w:szCs w:val="22"/>
          <w:lang w:eastAsia="ar-SA"/>
        </w:rPr>
        <w:t xml:space="preserve"> dywidend</w:t>
      </w:r>
      <w:r w:rsidR="0055278E">
        <w:rPr>
          <w:rFonts w:asciiTheme="majorHAnsi" w:eastAsia="Times New Roman" w:hAnsiTheme="majorHAnsi" w:cstheme="majorHAnsi"/>
          <w:color w:val="000000"/>
          <w:sz w:val="22"/>
          <w:szCs w:val="22"/>
          <w:lang w:eastAsia="ar-SA"/>
        </w:rPr>
        <w:t xml:space="preserve">ę </w:t>
      </w:r>
      <w:r w:rsidRPr="00473ECA">
        <w:rPr>
          <w:rFonts w:asciiTheme="majorHAnsi" w:eastAsia="Times New Roman" w:hAnsiTheme="majorHAnsi" w:cstheme="majorHAnsi"/>
          <w:color w:val="000000"/>
          <w:sz w:val="22"/>
          <w:szCs w:val="22"/>
          <w:lang w:eastAsia="ar-SA"/>
        </w:rPr>
        <w:t xml:space="preserve">z zysku za 2022 rok w wysokości 5 zł na akcję, czyli łącznie 193,57 mln zł. </w:t>
      </w:r>
      <w:r w:rsidR="00165DE1" w:rsidRPr="00165DE1">
        <w:rPr>
          <w:rFonts w:asciiTheme="majorHAnsi" w:eastAsia="Times New Roman" w:hAnsiTheme="majorHAnsi" w:cstheme="majorHAnsi"/>
          <w:color w:val="000000"/>
          <w:sz w:val="22"/>
          <w:szCs w:val="22"/>
          <w:lang w:eastAsia="ar-SA"/>
        </w:rPr>
        <w:t>O</w:t>
      </w:r>
      <w:r w:rsidR="00165DE1">
        <w:rPr>
          <w:rFonts w:asciiTheme="majorHAnsi" w:eastAsia="Times New Roman" w:hAnsiTheme="majorHAnsi" w:cstheme="majorHAnsi"/>
          <w:color w:val="000000"/>
          <w:sz w:val="22"/>
          <w:szCs w:val="22"/>
          <w:lang w:eastAsia="ar-SA"/>
        </w:rPr>
        <w:t>znacza to, że o</w:t>
      </w:r>
      <w:r w:rsidR="00165DE1" w:rsidRPr="00165DE1">
        <w:rPr>
          <w:rFonts w:asciiTheme="majorHAnsi" w:eastAsia="Times New Roman" w:hAnsiTheme="majorHAnsi" w:cstheme="majorHAnsi"/>
          <w:color w:val="000000"/>
          <w:sz w:val="22"/>
          <w:szCs w:val="22"/>
          <w:lang w:eastAsia="ar-SA"/>
        </w:rPr>
        <w:t xml:space="preserve">d początku obecności ATAL S.A. na Giełdzie Papierów Wartościowych w Warszawie Spółka </w:t>
      </w:r>
      <w:r w:rsidR="00165DE1">
        <w:rPr>
          <w:rFonts w:asciiTheme="majorHAnsi" w:eastAsia="Times New Roman" w:hAnsiTheme="majorHAnsi" w:cstheme="majorHAnsi"/>
          <w:color w:val="000000"/>
          <w:sz w:val="22"/>
          <w:szCs w:val="22"/>
          <w:lang w:eastAsia="ar-SA"/>
        </w:rPr>
        <w:t>wypłaci</w:t>
      </w:r>
      <w:r w:rsidR="0055278E">
        <w:rPr>
          <w:rFonts w:asciiTheme="majorHAnsi" w:eastAsia="Times New Roman" w:hAnsiTheme="majorHAnsi" w:cstheme="majorHAnsi"/>
          <w:color w:val="000000"/>
          <w:sz w:val="22"/>
          <w:szCs w:val="22"/>
          <w:lang w:eastAsia="ar-SA"/>
        </w:rPr>
        <w:t xml:space="preserve">ła </w:t>
      </w:r>
      <w:r w:rsidR="00165DE1" w:rsidRPr="00165DE1">
        <w:rPr>
          <w:rFonts w:asciiTheme="majorHAnsi" w:eastAsia="Times New Roman" w:hAnsiTheme="majorHAnsi" w:cstheme="majorHAnsi"/>
          <w:color w:val="000000"/>
          <w:sz w:val="22"/>
          <w:szCs w:val="22"/>
          <w:lang w:eastAsia="ar-SA"/>
        </w:rPr>
        <w:t xml:space="preserve">akcjonariuszom </w:t>
      </w:r>
      <w:r w:rsidR="00165DE1">
        <w:rPr>
          <w:rFonts w:asciiTheme="majorHAnsi" w:eastAsia="Times New Roman" w:hAnsiTheme="majorHAnsi" w:cstheme="majorHAnsi"/>
          <w:color w:val="000000"/>
          <w:sz w:val="22"/>
          <w:szCs w:val="22"/>
          <w:lang w:eastAsia="ar-SA"/>
        </w:rPr>
        <w:t>blisko</w:t>
      </w:r>
      <w:r w:rsidR="00165DE1" w:rsidRPr="00165DE1">
        <w:rPr>
          <w:rFonts w:asciiTheme="majorHAnsi" w:eastAsia="Times New Roman" w:hAnsiTheme="majorHAnsi" w:cstheme="majorHAnsi"/>
          <w:color w:val="000000"/>
          <w:sz w:val="22"/>
          <w:szCs w:val="22"/>
          <w:lang w:eastAsia="ar-SA"/>
        </w:rPr>
        <w:t xml:space="preserve"> </w:t>
      </w:r>
      <w:r w:rsidR="00165DE1">
        <w:rPr>
          <w:rFonts w:asciiTheme="majorHAnsi" w:eastAsia="Times New Roman" w:hAnsiTheme="majorHAnsi" w:cstheme="majorHAnsi"/>
          <w:color w:val="000000"/>
          <w:sz w:val="22"/>
          <w:szCs w:val="22"/>
          <w:lang w:eastAsia="ar-SA"/>
        </w:rPr>
        <w:t>1</w:t>
      </w:r>
      <w:r w:rsidR="00165DE1" w:rsidRPr="00165DE1">
        <w:rPr>
          <w:rFonts w:asciiTheme="majorHAnsi" w:eastAsia="Times New Roman" w:hAnsiTheme="majorHAnsi" w:cstheme="majorHAnsi"/>
          <w:color w:val="000000"/>
          <w:sz w:val="22"/>
          <w:szCs w:val="22"/>
          <w:lang w:eastAsia="ar-SA"/>
        </w:rPr>
        <w:t xml:space="preserve"> mld zł.</w:t>
      </w:r>
    </w:p>
    <w:p w14:paraId="0AD4DB5A" w14:textId="1A70EA07" w:rsidR="00B066BC" w:rsidRDefault="00B71928" w:rsidP="00B066BC">
      <w:pPr>
        <w:suppressAutoHyphens/>
        <w:autoSpaceDE w:val="0"/>
        <w:spacing w:before="240" w:after="120" w:line="240" w:lineRule="auto"/>
        <w:jc w:val="both"/>
        <w:rPr>
          <w:rFonts w:asciiTheme="majorHAnsi" w:eastAsia="Times New Roman" w:hAnsiTheme="majorHAnsi" w:cstheme="majorHAnsi"/>
          <w:color w:val="000000"/>
          <w:sz w:val="22"/>
          <w:szCs w:val="22"/>
          <w:lang w:eastAsia="ar-SA"/>
        </w:rPr>
      </w:pPr>
      <w:r w:rsidRPr="00473ECA">
        <w:rPr>
          <w:rFonts w:asciiTheme="majorHAnsi" w:eastAsia="Times New Roman" w:hAnsiTheme="majorHAnsi" w:cstheme="majorHAnsi"/>
          <w:color w:val="000000"/>
          <w:sz w:val="22"/>
          <w:szCs w:val="22"/>
          <w:lang w:eastAsia="ar-SA"/>
        </w:rPr>
        <w:t xml:space="preserve">W dniu 11 maja 2023 r. ATAL wyemitował 150 mln zł obligacji </w:t>
      </w:r>
      <w:r>
        <w:rPr>
          <w:rFonts w:asciiTheme="majorHAnsi" w:eastAsia="Times New Roman" w:hAnsiTheme="majorHAnsi" w:cstheme="majorHAnsi"/>
          <w:b/>
          <w:bCs/>
          <w:i/>
          <w:iCs/>
          <w:lang w:eastAsia="ar-SA"/>
        </w:rPr>
        <w:t>–</w:t>
      </w:r>
      <w:r w:rsidRPr="00473ECA">
        <w:rPr>
          <w:rFonts w:asciiTheme="majorHAnsi" w:eastAsia="Times New Roman" w:hAnsiTheme="majorHAnsi" w:cstheme="majorHAnsi"/>
          <w:color w:val="000000"/>
          <w:sz w:val="22"/>
          <w:szCs w:val="22"/>
          <w:lang w:eastAsia="ar-SA"/>
        </w:rPr>
        <w:t xml:space="preserve"> rocznych serii AZ (70 mln zł)</w:t>
      </w:r>
      <w:r>
        <w:rPr>
          <w:rFonts w:asciiTheme="majorHAnsi" w:eastAsia="Times New Roman" w:hAnsiTheme="majorHAnsi" w:cstheme="majorHAnsi"/>
          <w:color w:val="000000"/>
          <w:sz w:val="22"/>
          <w:szCs w:val="22"/>
          <w:lang w:eastAsia="ar-SA"/>
        </w:rPr>
        <w:t xml:space="preserve"> </w:t>
      </w:r>
      <w:r w:rsidRPr="00473ECA">
        <w:rPr>
          <w:rFonts w:asciiTheme="majorHAnsi" w:eastAsia="Times New Roman" w:hAnsiTheme="majorHAnsi" w:cstheme="majorHAnsi"/>
          <w:color w:val="000000"/>
          <w:sz w:val="22"/>
          <w:szCs w:val="22"/>
          <w:lang w:eastAsia="ar-SA"/>
        </w:rPr>
        <w:t xml:space="preserve">i dwuletnich serii BA (80 mln zł) </w:t>
      </w:r>
      <w:r>
        <w:rPr>
          <w:rFonts w:asciiTheme="majorHAnsi" w:eastAsia="Times New Roman" w:hAnsiTheme="majorHAnsi" w:cstheme="majorHAnsi"/>
          <w:b/>
          <w:bCs/>
          <w:i/>
          <w:iCs/>
          <w:lang w:eastAsia="ar-SA"/>
        </w:rPr>
        <w:t>–</w:t>
      </w:r>
      <w:r>
        <w:rPr>
          <w:rFonts w:asciiTheme="majorHAnsi" w:eastAsia="Times New Roman" w:hAnsiTheme="majorHAnsi" w:cstheme="majorHAnsi"/>
          <w:color w:val="000000"/>
          <w:sz w:val="22"/>
          <w:szCs w:val="22"/>
          <w:lang w:eastAsia="ar-SA"/>
        </w:rPr>
        <w:t xml:space="preserve"> </w:t>
      </w:r>
      <w:r w:rsidRPr="00473ECA">
        <w:rPr>
          <w:rFonts w:asciiTheme="majorHAnsi" w:eastAsia="Times New Roman" w:hAnsiTheme="majorHAnsi" w:cstheme="majorHAnsi"/>
          <w:color w:val="000000"/>
          <w:sz w:val="22"/>
          <w:szCs w:val="22"/>
          <w:lang w:eastAsia="ar-SA"/>
        </w:rPr>
        <w:t>w ramach ustanowionego w tym roku</w:t>
      </w:r>
      <w:r>
        <w:rPr>
          <w:rFonts w:asciiTheme="majorHAnsi" w:eastAsia="Times New Roman" w:hAnsiTheme="majorHAnsi" w:cstheme="majorHAnsi"/>
          <w:color w:val="000000"/>
          <w:sz w:val="22"/>
          <w:szCs w:val="22"/>
          <w:lang w:eastAsia="ar-SA"/>
        </w:rPr>
        <w:t xml:space="preserve"> </w:t>
      </w:r>
      <w:r w:rsidRPr="00473ECA">
        <w:rPr>
          <w:rFonts w:asciiTheme="majorHAnsi" w:eastAsia="Times New Roman" w:hAnsiTheme="majorHAnsi" w:cstheme="majorHAnsi"/>
          <w:color w:val="000000"/>
          <w:sz w:val="22"/>
          <w:szCs w:val="22"/>
          <w:lang w:eastAsia="ar-SA"/>
        </w:rPr>
        <w:t>programu emisji obligacji</w:t>
      </w:r>
      <w:r>
        <w:rPr>
          <w:rFonts w:asciiTheme="majorHAnsi" w:eastAsia="Times New Roman" w:hAnsiTheme="majorHAnsi" w:cstheme="majorHAnsi"/>
          <w:color w:val="000000"/>
          <w:sz w:val="22"/>
          <w:szCs w:val="22"/>
          <w:lang w:eastAsia="ar-SA"/>
        </w:rPr>
        <w:t xml:space="preserve">. </w:t>
      </w:r>
      <w:r w:rsidRPr="00473ECA">
        <w:rPr>
          <w:rFonts w:asciiTheme="majorHAnsi" w:eastAsia="Times New Roman" w:hAnsiTheme="majorHAnsi" w:cstheme="majorHAnsi"/>
          <w:color w:val="000000"/>
          <w:sz w:val="22"/>
          <w:szCs w:val="22"/>
          <w:lang w:eastAsia="ar-SA"/>
        </w:rPr>
        <w:t xml:space="preserve">Pomimo rynkowej presji na podnoszenie marż utrzymano dotychczasowe niskie poziomy kosztu obligacji ATAL. Marża na rocznym papierze wynosi 165 </w:t>
      </w:r>
      <w:proofErr w:type="spellStart"/>
      <w:r w:rsidRPr="00473ECA">
        <w:rPr>
          <w:rFonts w:asciiTheme="majorHAnsi" w:eastAsia="Times New Roman" w:hAnsiTheme="majorHAnsi" w:cstheme="majorHAnsi"/>
          <w:color w:val="000000"/>
          <w:sz w:val="22"/>
          <w:szCs w:val="22"/>
          <w:lang w:eastAsia="ar-SA"/>
        </w:rPr>
        <w:t>bps</w:t>
      </w:r>
      <w:proofErr w:type="spellEnd"/>
      <w:r w:rsidRPr="00473ECA">
        <w:rPr>
          <w:rFonts w:asciiTheme="majorHAnsi" w:eastAsia="Times New Roman" w:hAnsiTheme="majorHAnsi" w:cstheme="majorHAnsi"/>
          <w:color w:val="000000"/>
          <w:sz w:val="22"/>
          <w:szCs w:val="22"/>
          <w:lang w:eastAsia="ar-SA"/>
        </w:rPr>
        <w:t xml:space="preserve"> ponad WIBOR6M, a na dwuletniej obligacji 200 </w:t>
      </w:r>
      <w:proofErr w:type="spellStart"/>
      <w:r w:rsidRPr="00473ECA">
        <w:rPr>
          <w:rFonts w:asciiTheme="majorHAnsi" w:eastAsia="Times New Roman" w:hAnsiTheme="majorHAnsi" w:cstheme="majorHAnsi"/>
          <w:color w:val="000000"/>
          <w:sz w:val="22"/>
          <w:szCs w:val="22"/>
          <w:lang w:eastAsia="ar-SA"/>
        </w:rPr>
        <w:t>bps</w:t>
      </w:r>
      <w:proofErr w:type="spellEnd"/>
      <w:r w:rsidRPr="00473ECA">
        <w:rPr>
          <w:rFonts w:asciiTheme="majorHAnsi" w:eastAsia="Times New Roman" w:hAnsiTheme="majorHAnsi" w:cstheme="majorHAnsi"/>
          <w:color w:val="000000"/>
          <w:sz w:val="22"/>
          <w:szCs w:val="22"/>
          <w:lang w:eastAsia="ar-SA"/>
        </w:rPr>
        <w:t xml:space="preserve"> ponad WIBOR6M. Duże zainteresowanie zgłoszone podczas budowy księgi popytu – stopa redukcji na papierach dwuletnich sięgnęła 43% </w:t>
      </w:r>
      <w:r>
        <w:rPr>
          <w:rFonts w:asciiTheme="majorHAnsi" w:eastAsia="Times New Roman" w:hAnsiTheme="majorHAnsi" w:cstheme="majorHAnsi"/>
          <w:b/>
          <w:bCs/>
          <w:i/>
          <w:iCs/>
          <w:lang w:eastAsia="ar-SA"/>
        </w:rPr>
        <w:t>–</w:t>
      </w:r>
      <w:r w:rsidRPr="00473ECA">
        <w:rPr>
          <w:rFonts w:asciiTheme="majorHAnsi" w:eastAsia="Times New Roman" w:hAnsiTheme="majorHAnsi" w:cstheme="majorHAnsi"/>
          <w:color w:val="000000"/>
          <w:sz w:val="22"/>
          <w:szCs w:val="22"/>
          <w:lang w:eastAsia="ar-SA"/>
        </w:rPr>
        <w:t xml:space="preserve"> świadczy o bardzo dobrym postrzeganiu papierów ATAL przez inwestorów.</w:t>
      </w:r>
      <w:r>
        <w:rPr>
          <w:rFonts w:asciiTheme="majorHAnsi" w:eastAsia="Times New Roman" w:hAnsiTheme="majorHAnsi" w:cstheme="majorHAnsi"/>
          <w:color w:val="000000"/>
          <w:sz w:val="22"/>
          <w:szCs w:val="22"/>
          <w:lang w:eastAsia="ar-SA"/>
        </w:rPr>
        <w:t xml:space="preserve"> </w:t>
      </w:r>
      <w:r w:rsidRPr="00473ECA">
        <w:rPr>
          <w:rFonts w:asciiTheme="majorHAnsi" w:eastAsia="Times New Roman" w:hAnsiTheme="majorHAnsi" w:cstheme="majorHAnsi"/>
          <w:color w:val="000000"/>
          <w:sz w:val="22"/>
          <w:szCs w:val="22"/>
          <w:lang w:eastAsia="ar-SA"/>
        </w:rPr>
        <w:t>Środki z emisji przeznaczone będą na finansowanie bieżącej działalności spółki, w tym finansowanie wydatków związanych z przygotowaniem projektów deweloperskich oraz zakup gruntów.</w:t>
      </w:r>
    </w:p>
    <w:p w14:paraId="0E3C32AC" w14:textId="559B3B46" w:rsidR="00A2037F" w:rsidRPr="00991150" w:rsidRDefault="00A2037F" w:rsidP="00A2037F">
      <w:pPr>
        <w:spacing w:line="240" w:lineRule="auto"/>
        <w:rPr>
          <w:rFonts w:asciiTheme="majorHAnsi" w:hAnsiTheme="majorHAnsi" w:cstheme="majorHAnsi"/>
        </w:rPr>
      </w:pPr>
      <w:r w:rsidRPr="00991150">
        <w:rPr>
          <w:rFonts w:asciiTheme="majorHAnsi" w:hAnsiTheme="majorHAnsi" w:cstheme="majorHAnsi"/>
          <w:b/>
          <w:noProof/>
          <w:color w:val="000000"/>
          <w:lang w:eastAsia="pl-PL"/>
        </w:rPr>
        <mc:AlternateContent>
          <mc:Choice Requires="wpg">
            <w:drawing>
              <wp:anchor distT="0" distB="0" distL="114300" distR="114300" simplePos="0" relativeHeight="251662336" behindDoc="0" locked="0" layoutInCell="1" allowOverlap="1" wp14:anchorId="6E70F652" wp14:editId="7EA6AAD6">
                <wp:simplePos x="0" y="0"/>
                <wp:positionH relativeFrom="margin">
                  <wp:posOffset>2680335</wp:posOffset>
                </wp:positionH>
                <wp:positionV relativeFrom="paragraph">
                  <wp:posOffset>36830</wp:posOffset>
                </wp:positionV>
                <wp:extent cx="390039" cy="91466"/>
                <wp:effectExtent l="19050" t="19050" r="29210" b="22860"/>
                <wp:wrapNone/>
                <wp:docPr id="8" name="Grupa 8"/>
                <wp:cNvGraphicFramePr/>
                <a:graphic xmlns:a="http://schemas.openxmlformats.org/drawingml/2006/main">
                  <a:graphicData uri="http://schemas.microsoft.com/office/word/2010/wordprocessingGroup">
                    <wpg:wgp>
                      <wpg:cNvGrpSpPr/>
                      <wpg:grpSpPr>
                        <a:xfrm>
                          <a:off x="0" y="0"/>
                          <a:ext cx="390039" cy="91466"/>
                          <a:chOff x="0" y="0"/>
                          <a:chExt cx="615196" cy="144549"/>
                        </a:xfrm>
                      </wpg:grpSpPr>
                      <wps:wsp>
                        <wps:cNvPr id="3" name="Prostokąt 3"/>
                        <wps:cNvSpPr/>
                        <wps:spPr>
                          <a:xfrm rot="2700000">
                            <a:off x="241936" y="10757"/>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Prostokąt 5"/>
                        <wps:cNvSpPr/>
                        <wps:spPr>
                          <a:xfrm rot="2700000">
                            <a:off x="0" y="0"/>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rostokąt 7"/>
                        <wps:cNvSpPr/>
                        <wps:spPr>
                          <a:xfrm rot="2700000">
                            <a:off x="492162" y="21515"/>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D552B18" id="Grupa 8" o:spid="_x0000_s1026" style="position:absolute;margin-left:211.05pt;margin-top:2.9pt;width:30.7pt;height:7.2pt;z-index:251662336;mso-position-horizontal-relative:margin;mso-width-relative:margin;mso-height-relative:margin" coordsize="6151,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XnmagMAANYOAAAOAAAAZHJzL2Uyb0RvYy54bWzsV1tv0zAUfkfiP1h+Z7k0bWm0DE2DTkgT&#10;TAzEs+c4TURiG9tdOt75Z/wwjo+TrGxD4iIhHrqHzJdz/Xz89fj4xa5ryY0wtlGyoMlRTImQXJWN&#10;3BT0w/v1s+eUWMdkyVolRUFvhaUvTp4+Oe51LlJVq7YUhoARafNeF7R2TudRZHktOmaPlBYSNitl&#10;OuZgajZRaVgP1rs2SuN4EfXKlNooLqyF1Zdhk56g/aoS3L2tKiscaQsKsTn8Gvxe+290cszyjWG6&#10;bvgQBvuDKDrWSHA6mXrJHCNb0zww1TXcKKsqd8RVF6mqarjAHCCbJL6XzblRW425bPJ+oyeYANp7&#10;OP2xWf7m5tKQpiwoHJRkHRzRudlqRp57aHq9yUHi3OgrfWmGhU2Y+Wx3len8f8iD7BDU2wlUsXOE&#10;w+JsFcezFSUctlZJtlgEzHkNB/NAidevBrVFMk9Wi6CWZNk8W3m9aPQZ+dCmSHoN1WPvALJ/B9BV&#10;zbRA3K1PfwBoNgJ0CSfo1KdvXx2ZBZRQbILI5hbQGvEhRkHVpcvY/2GNDGilWbKaQYaASxIv58uA&#10;ywhbks7iWTbkH8b7+bNcG+vOheqIHxTUQKmjdXZzYV0QHUV8KFa1Tblu2hYnZnN91hpyw+BarNcY&#10;WVD5QayVXlgqrxa2/QpAP2aII3fbCi/XyneiglKCM08xErzEYvLDOBfSJWGrZqUI7uf73v219xp4&#10;0mjQW67A/2R7MDBKBiOj7RDlIO9VBXLApBwO4CeBBeVJAz0r6SblrpHKPJZZC1kNnoP8CFKAxqN0&#10;rcpbqCOsBeAhq/m6gXO7YNZdMgOUA4tAo+4tfKpW9QVVw4iSWpkvj617eSh02KWkBworqP28ZUZQ&#10;0r6WcAXgtmWe83CSzZcpTMz+zvX+jtx2ZwrKIcHocOjlXTsOK6O6j8C2p94rbDHJwXdBuTPj5MwF&#10;agW+5uL0FMWA5zRzF/JKc2/co+rr8v3uIzN6KF4HVf9GjdeO5fdqOMh6TalOt05VDRb4Ha4D3kAB&#10;nrP+ARfMH+GC+V9wAcD5kDkPFBA4BS/igQIOFAC3+/+hgOUjFIC/4Z6AoGv43XYgW6XJIkUeSKH3&#10;QTaB36+hHTpwwYELsDE4tAND6/CLXIAPBXg8YUc5PPT862x/ju3D3XP05DsAAAD//wMAUEsDBBQA&#10;BgAIAAAAIQDVrJBu3wAAAAgBAAAPAAAAZHJzL2Rvd25yZXYueG1sTI9Ba8JAFITvhf6H5Qm91U2i&#10;KRLzIiJtT1KoFkpva/aZBLNvQ3ZN4r/v9lSPwwwz3+SbybRioN41lhHieQSCuLS64Qrh6/j2vALh&#10;vGKtWsuEcCMHm+LxIVeZtiN/0nDwlQgl7DKFUHvfZVK6siaj3Nx2xME7294oH2RfSd2rMZSbViZR&#10;9CKNajgs1KqjXU3l5XA1CO+jGreL+HXYX867288x/fjex4T4NJu2axCeJv8fhj/8gA5FYDrZK2sn&#10;WoRlksQhipCGB8FfrhYpiBNCEiUgi1zeHyh+AQAA//8DAFBLAQItABQABgAIAAAAIQC2gziS/gAA&#10;AOEBAAATAAAAAAAAAAAAAAAAAAAAAABbQ29udGVudF9UeXBlc10ueG1sUEsBAi0AFAAGAAgAAAAh&#10;ADj9If/WAAAAlAEAAAsAAAAAAAAAAAAAAAAALwEAAF9yZWxzLy5yZWxzUEsBAi0AFAAGAAgAAAAh&#10;ALvReeZqAwAA1g4AAA4AAAAAAAAAAAAAAAAALgIAAGRycy9lMm9Eb2MueG1sUEsBAi0AFAAGAAgA&#10;AAAhANWskG7fAAAACAEAAA8AAAAAAAAAAAAAAAAAxAUAAGRycy9kb3ducmV2LnhtbFBLBQYAAAAA&#10;BAAEAPMAAADQBgAAAAA=&#10;">
                <v:rect id="Prostokąt 3" o:spid="_x0000_s1027" style="position:absolute;left:2419;top:107;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QywgAAANoAAAAPAAAAZHJzL2Rvd25yZXYueG1sRI/disIw&#10;FITvF3yHcATvNFXxh2oU0XURLwR/HuDQHNNic1KarNZ9eiMIeznMzDfMfNnYUtyp9oVjBf1eAoI4&#10;c7pgo+By3nanIHxA1lg6JgVP8rBctL7mmGr34CPdT8GICGGfooI8hCqV0mc5WfQ9VxFH7+pqiyHK&#10;2khd4yPCbSkHSTKWFguOCzlWtM4pu51+rYIwHv7J/eFnc5xU28to9G1oII1SnXazmoEI1IT/8Ke9&#10;0wqG8L4Sb4BcvAAAAP//AwBQSwECLQAUAAYACAAAACEA2+H2y+4AAACFAQAAEwAAAAAAAAAAAAAA&#10;AAAAAAAAW0NvbnRlbnRfVHlwZXNdLnhtbFBLAQItABQABgAIAAAAIQBa9CxbvwAAABUBAAALAAAA&#10;AAAAAAAAAAAAAB8BAABfcmVscy8ucmVsc1BLAQItABQABgAIAAAAIQBoUuQywgAAANoAAAAPAAAA&#10;AAAAAAAAAAAAAAcCAABkcnMvZG93bnJldi54bWxQSwUGAAAAAAMAAwC3AAAA9gIAAAAA&#10;" fillcolor="red" stroked="f" strokeweight="1pt"/>
                <v:rect id="Prostokąt 5" o:spid="_x0000_s1028" style="position:absolute;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9ndwgAAANoAAAAPAAAAZHJzL2Rvd25yZXYueG1sRI/disIw&#10;FITvBd8hHGHvNFWpK9Uo4s8iXiz48wCH5pgWm5PSRO3u05uFBS+HmfmGmS9bW4kHNb50rGA4SEAQ&#10;506XbBRczrv+FIQPyBorx6TghzwsF93OHDPtnnykxykYESHsM1RQhFBnUvq8IIt+4Gri6F1dYzFE&#10;2RipG3xGuK3kKEkm0mLJcaHAmtYF5bfT3SoIk/GvPHx/bY6f9e6SpltDI2mU+ui1qxmIQG14h//b&#10;e60ghb8r8QbIxQsAAP//AwBQSwECLQAUAAYACAAAACEA2+H2y+4AAACFAQAAEwAAAAAAAAAAAAAA&#10;AAAAAAAAW0NvbnRlbnRfVHlwZXNdLnhtbFBLAQItABQABgAIAAAAIQBa9CxbvwAAABUBAAALAAAA&#10;AAAAAAAAAAAAAB8BAABfcmVscy8ucmVsc1BLAQItABQABgAIAAAAIQCI99ndwgAAANoAAAAPAAAA&#10;AAAAAAAAAAAAAAcCAABkcnMvZG93bnJldi54bWxQSwUGAAAAAAMAAwC3AAAA9gIAAAAA&#10;" fillcolor="red" stroked="f" strokeweight="1pt"/>
                <v:rect id="Prostokąt 7" o:spid="_x0000_s1029" style="position:absolute;left:4921;top:215;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IxxAAAANoAAAAPAAAAZHJzL2Rvd25yZXYueG1sRI/RasJA&#10;FETfC/7Dcgt9q5taEkvqKqKNFB+EqB9wyd5uQrN3Q3Yb0369WxB8HGbmDLNYjbYVA/W+cazgZZqA&#10;IK6cbtgoOJ+K5zcQPiBrbB2Tgl/ysFpOHhaYa3fhkoZjMCJC2OeooA6hy6X0VU0W/dR1xNH7cr3F&#10;EGVvpO7xEuG2lbMkyaTFhuNCjR1taqq+jz9WQche/+T+sNuW8644p+mHoZk0Sj09jut3EIHGcA/f&#10;2p9awRz+r8QbIJdXAAAA//8DAFBLAQItABQABgAIAAAAIQDb4fbL7gAAAIUBAAATAAAAAAAAAAAA&#10;AAAAAAAAAABbQ29udGVudF9UeXBlc10ueG1sUEsBAi0AFAAGAAgAAAAhAFr0LFu/AAAAFQEAAAsA&#10;AAAAAAAAAAAAAAAAHwEAAF9yZWxzLy5yZWxzUEsBAi0AFAAGAAgAAAAhABdp4jHEAAAA2gAAAA8A&#10;AAAAAAAAAAAAAAAABwIAAGRycy9kb3ducmV2LnhtbFBLBQYAAAAAAwADALcAAAD4AgAAAAA=&#10;" fillcolor="red" stroked="f" strokeweight="1pt"/>
                <w10:wrap anchorx="margin"/>
              </v:group>
            </w:pict>
          </mc:Fallback>
        </mc:AlternateContent>
      </w:r>
    </w:p>
    <w:p w14:paraId="3670A4C9" w14:textId="77777777" w:rsidR="00A2037F" w:rsidRPr="004009C7" w:rsidRDefault="00A2037F" w:rsidP="00A2037F">
      <w:pPr>
        <w:suppressAutoHyphens/>
        <w:spacing w:before="100" w:beforeAutospacing="1" w:after="120" w:line="240" w:lineRule="auto"/>
        <w:jc w:val="both"/>
        <w:rPr>
          <w:rFonts w:asciiTheme="majorHAnsi" w:hAnsiTheme="majorHAnsi" w:cstheme="majorHAnsi"/>
          <w:sz w:val="20"/>
          <w:szCs w:val="20"/>
          <w:lang w:eastAsia="ar-SA"/>
        </w:rPr>
      </w:pPr>
      <w:r w:rsidRPr="004009C7">
        <w:rPr>
          <w:rFonts w:asciiTheme="majorHAnsi" w:hAnsiTheme="majorHAnsi" w:cstheme="majorHAnsi"/>
          <w:sz w:val="20"/>
          <w:szCs w:val="20"/>
          <w:lang w:eastAsia="ar-SA"/>
        </w:rPr>
        <w:t>ATAL S.A. (</w:t>
      </w:r>
      <w:hyperlink r:id="rId7" w:history="1">
        <w:r w:rsidRPr="004009C7">
          <w:rPr>
            <w:rFonts w:asciiTheme="majorHAnsi" w:hAnsiTheme="majorHAnsi" w:cstheme="majorHAnsi"/>
            <w:color w:val="000080"/>
            <w:sz w:val="20"/>
            <w:szCs w:val="20"/>
            <w:u w:val="single"/>
            <w:lang w:eastAsia="ar-SA"/>
          </w:rPr>
          <w:t>www.atal.pl</w:t>
        </w:r>
      </w:hyperlink>
      <w:r w:rsidRPr="004009C7">
        <w:rPr>
          <w:rFonts w:asciiTheme="majorHAnsi" w:hAnsiTheme="majorHAnsi" w:cstheme="majorHAnsi"/>
          <w:sz w:val="20"/>
          <w:szCs w:val="20"/>
          <w:lang w:eastAsia="ar-SA"/>
        </w:rPr>
        <w:t xml:space="preserve">) to czołowy polski deweloper z bogatym, 30-letnim doświadczeniem na rynku nieruchomości. Spółka realizuje inwestycje w trzech sektorach – mieszkaniowym, komercyjnym oraz w segmencie apartamentów inwestycyjnych. Założycielem i właścicielem ATAL jest Zbigniew Juroszek. W aktualnej ofercie znajdują się inwestycje deweloperskie realizowane w aglomeracji śląskiej, Krakowie, Łodzi, Wrocławiu, Warszawie, Trójmieście i Poznaniu. Wynikami sprzedaży ATAL zapewnia sobie czołową pozycję wśród największych przedsiębiorstw w branży. ATAL jest członkiem Polskiego Związku Firm Deweloperskich. W 2013 roku obligacje spółki zadebiutowały na rynku </w:t>
      </w:r>
      <w:proofErr w:type="spellStart"/>
      <w:r w:rsidRPr="004009C7">
        <w:rPr>
          <w:rFonts w:asciiTheme="majorHAnsi" w:hAnsiTheme="majorHAnsi" w:cstheme="majorHAnsi"/>
          <w:sz w:val="20"/>
          <w:szCs w:val="20"/>
          <w:lang w:eastAsia="ar-SA"/>
        </w:rPr>
        <w:t>Catalyst</w:t>
      </w:r>
      <w:proofErr w:type="spellEnd"/>
      <w:r w:rsidRPr="004009C7">
        <w:rPr>
          <w:rFonts w:asciiTheme="majorHAnsi" w:hAnsiTheme="majorHAnsi" w:cstheme="majorHAnsi"/>
          <w:sz w:val="20"/>
          <w:szCs w:val="20"/>
          <w:lang w:eastAsia="ar-SA"/>
        </w:rPr>
        <w:t xml:space="preserve">, a od 2015 roku akcje ATAL notowane są na Giełdzie Papierów Wartościowych w Warszawie. </w:t>
      </w:r>
    </w:p>
    <w:p w14:paraId="1A6E849E" w14:textId="77777777" w:rsidR="00A2037F" w:rsidRDefault="00A2037F" w:rsidP="00A2037F">
      <w:pPr>
        <w:suppressAutoHyphens/>
        <w:spacing w:before="100" w:beforeAutospacing="1" w:after="120" w:line="240" w:lineRule="auto"/>
        <w:rPr>
          <w:rFonts w:asciiTheme="majorHAnsi" w:hAnsiTheme="majorHAnsi" w:cstheme="majorHAnsi"/>
          <w:sz w:val="22"/>
          <w:szCs w:val="22"/>
          <w:lang w:eastAsia="ar-SA"/>
        </w:rPr>
      </w:pPr>
      <w:r w:rsidRPr="00991150">
        <w:rPr>
          <w:rFonts w:asciiTheme="majorHAnsi" w:hAnsiTheme="majorHAnsi" w:cstheme="majorHAnsi"/>
          <w:b/>
          <w:noProof/>
          <w:color w:val="000000"/>
          <w:lang w:eastAsia="pl-PL"/>
        </w:rPr>
        <mc:AlternateContent>
          <mc:Choice Requires="wpg">
            <w:drawing>
              <wp:anchor distT="0" distB="0" distL="114300" distR="114300" simplePos="0" relativeHeight="251663360" behindDoc="0" locked="0" layoutInCell="1" allowOverlap="1" wp14:anchorId="5AF4C81B" wp14:editId="52D11763">
                <wp:simplePos x="0" y="0"/>
                <wp:positionH relativeFrom="margin">
                  <wp:align>center</wp:align>
                </wp:positionH>
                <wp:positionV relativeFrom="paragraph">
                  <wp:posOffset>119360</wp:posOffset>
                </wp:positionV>
                <wp:extent cx="390039" cy="91466"/>
                <wp:effectExtent l="19050" t="19050" r="29210" b="22860"/>
                <wp:wrapNone/>
                <wp:docPr id="10" name="Grupa 10"/>
                <wp:cNvGraphicFramePr/>
                <a:graphic xmlns:a="http://schemas.openxmlformats.org/drawingml/2006/main">
                  <a:graphicData uri="http://schemas.microsoft.com/office/word/2010/wordprocessingGroup">
                    <wpg:wgp>
                      <wpg:cNvGrpSpPr/>
                      <wpg:grpSpPr>
                        <a:xfrm>
                          <a:off x="0" y="0"/>
                          <a:ext cx="390039" cy="91466"/>
                          <a:chOff x="0" y="0"/>
                          <a:chExt cx="615196" cy="144549"/>
                        </a:xfrm>
                      </wpg:grpSpPr>
                      <wps:wsp>
                        <wps:cNvPr id="11" name="Prostokąt 11"/>
                        <wps:cNvSpPr/>
                        <wps:spPr>
                          <a:xfrm rot="2700000">
                            <a:off x="241936" y="10757"/>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rostokąt 12"/>
                        <wps:cNvSpPr/>
                        <wps:spPr>
                          <a:xfrm rot="2700000">
                            <a:off x="0" y="0"/>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rostokąt 13"/>
                        <wps:cNvSpPr/>
                        <wps:spPr>
                          <a:xfrm rot="2700000">
                            <a:off x="492162" y="21515"/>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6EEFFA0" id="Grupa 10" o:spid="_x0000_s1026" style="position:absolute;margin-left:0;margin-top:9.4pt;width:30.7pt;height:7.2pt;z-index:251663360;mso-position-horizontal:center;mso-position-horizontal-relative:margin;mso-width-relative:margin;mso-height-relative:margin" coordsize="6151,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i9ZAMAAN4OAAAOAAAAZHJzL2Uyb0RvYy54bWzsV1tv0zAUfkfiP1h+Z7k0bWm0dKo2OiFN&#10;rGJDe/Ycp4lIbGO7S8s7/4wfxrGdZGUrEtokxEP3kPlyrp/P+Wqfnm2bGj0wpSvBMxydhBgxTkVe&#10;8XWGv9wu373HSBvCc1ILzjK8Yxqfzd++OW1lymJRijpnCoERrtNWZrg0RqZBoGnJGqJPhGQcNguh&#10;GmJgqtZBrkgL1ps6iMNwErRC5VIJyrSG1Qu/iefOflEwaq6LQjOD6gxDbMZ9lfve228wPyXpWhFZ&#10;VrQLg7wgioZUHJwOpi6IIWijqmemmooqoUVhTqhoAlEUFWUuB8gmCp9kc6nERrpc1mm7lgNMAO0T&#10;nF5sln56WClU5XB2AA8nDZzRpdpIgmAO4LRynYLMpZI3cqW6hbWf2Xy3hWrsf8gEbR2suwFWtjWI&#10;wuJoFoajGUYUtmZRMpl41GkJR/NMiZYfOrVJNI5mE68WJck4mVm9oPcZ2NCGSFoJ9aMfIdKvg+im&#10;JJI55LVNv4co6iFawSEa8fXnD4OiyOPkBAeQdKoBrx4hpARUXjwN7Z+rkw6vOIlmI8gRkInC6Xjq&#10;kemBi+JROEo6BPx4HwGSSqXNJRMNsoMMKyh3Z508XGnjRXsRG4oWdZUvq7p2E7W+P68VeiDQGsul&#10;i8yr/CZWcyvMhVXz23YFwO8zdCOzq5mVq/lnVkA5wanHLhLXyGzwQyhl3ER+qyQ58+7H+95t61sN&#10;d9bOoLVcgP/Bdmegl/RGets+yk7eqjLHA4OyP4A/BOaVBw3nWXAzKDcVF+pQZjVk1Xn28j1IHhqL&#10;0r3Id1BJrhag2bSkywrO7YposyIKaAcWgUrNNXyKWrQZFt0Io1Ko74fWrTyUOuxi1AKNZVh/2xDF&#10;MKo/cmgC6LfE8p6bJONpDBO1v3O/v8M3zbmAcoA6h+jc0Mqbuh8WSjR3wLgL6xW2CKfgO8PUqH5y&#10;bjy9AmdTtlg4MeA6ScwVv5HUGreo2rq83d4RJbviNVD1n0TfeCR9UsNe1mpysdgYUVSuwB9x7fAG&#10;ErCs9S/YID7EBvEr2AAAfc6eRxLwrOJa8UgCRxKA/v6PSGB0iARGryCBZBZHE6AWYIIYbkDj45Ug&#10;HX6rj1eC45XAX7Ierw9/yQbuuQCPKFdC3YPPvtL25+4K8fgsnf8CAAD//wMAUEsDBBQABgAIAAAA&#10;IQD4FIc/3AAAAAUBAAAPAAAAZHJzL2Rvd25yZXYueG1sTI9BS8NAEIXvgv9hmYI3u0mjpaTZlFLU&#10;UxFsBfE2TaZJaHY2ZLdJ+u8dT3qc9x7vfZNtJtuqgXrfODYQzyNQxIUrG64MfB5fH1egfEAusXVM&#10;Bm7kYZPf32WYlm7kDxoOoVJSwj5FA3UIXaq1L2qy6OeuIxbv7HqLQc6+0mWPo5TbVi+iaKktNiwL&#10;NXa0q6m4HK7WwNuI4zaJX4b95by7fR+f37/2MRnzMJu2a1CBpvAXhl98QYdcmE7uyqVXrQF5JIi6&#10;En5xl/ETqJOBJFmAzjP9nz7/AQAA//8DAFBLAQItABQABgAIAAAAIQC2gziS/gAAAOEBAAATAAAA&#10;AAAAAAAAAAAAAAAAAABbQ29udGVudF9UeXBlc10ueG1sUEsBAi0AFAAGAAgAAAAhADj9If/WAAAA&#10;lAEAAAsAAAAAAAAAAAAAAAAALwEAAF9yZWxzLy5yZWxzUEsBAi0AFAAGAAgAAAAhADaveL1kAwAA&#10;3g4AAA4AAAAAAAAAAAAAAAAALgIAAGRycy9lMm9Eb2MueG1sUEsBAi0AFAAGAAgAAAAhAPgUhz/c&#10;AAAABQEAAA8AAAAAAAAAAAAAAAAAvgUAAGRycy9kb3ducmV2LnhtbFBLBQYAAAAABAAEAPMAAADH&#10;BgAAAAA=&#10;">
                <v:rect id="Prostokąt 11" o:spid="_x0000_s1027" style="position:absolute;left:2419;top:107;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k6wAAAANsAAAAPAAAAZHJzL2Rvd25yZXYueG1sRE/bisIw&#10;EH1f8B/CCL5pqqIuXaOIN8QHwcsHDM1sWraZlCZq9euNIOzbHM51pvPGluJGtS8cK+j3EhDEmdMF&#10;GwWX86b7DcIHZI2lY1LwIA/zWetriql2dz7S7RSMiCHsU1SQh1ClUvosJ4u+5yriyP262mKIsDZS&#10;13iP4baUgyQZS4sFx4YcK1rmlP2drlZBGA+fcn/Yro6TanMZjdaGBtIo1Wk3ix8QgZrwL/64dzrO&#10;78P7l3iAnL0AAAD//wMAUEsBAi0AFAAGAAgAAAAhANvh9svuAAAAhQEAABMAAAAAAAAAAAAAAAAA&#10;AAAAAFtDb250ZW50X1R5cGVzXS54bWxQSwECLQAUAAYACAAAACEAWvQsW78AAAAVAQAACwAAAAAA&#10;AAAAAAAAAAAfAQAAX3JlbHMvLnJlbHNQSwECLQAUAAYACAAAACEAr2yZOsAAAADbAAAADwAAAAAA&#10;AAAAAAAAAAAHAgAAZHJzL2Rvd25yZXYueG1sUEsFBgAAAAADAAMAtwAAAPQCAAAAAA==&#10;" fillcolor="red" stroked="f" strokeweight="1pt"/>
                <v:rect id="Prostokąt 12" o:spid="_x0000_s1028" style="position:absolute;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dNwgAAANsAAAAPAAAAZHJzL2Rvd25yZXYueG1sRE/NasJA&#10;EL4LfYdlCr2ZjSnaErMRsVWKh4I2DzBkx00wOxuyW019+m6h4G0+vt8pVqPtxIUG3zpWMEtSEMS1&#10;0y0bBdXXdvoKwgdkjZ1jUvBDHlblw6TAXLsrH+hyDEbEEPY5KmhC6HMpfd2QRZ+4njhyJzdYDBEO&#10;RuoBrzHcdjJL04W02HJsaLCnTUP1+fhtFYTF803uP3dvh5d+W83n74YyaZR6ehzXSxCBxnAX/7s/&#10;dJyfwd8v8QBZ/gIAAP//AwBQSwECLQAUAAYACAAAACEA2+H2y+4AAACFAQAAEwAAAAAAAAAAAAAA&#10;AAAAAAAAW0NvbnRlbnRfVHlwZXNdLnhtbFBLAQItABQABgAIAAAAIQBa9CxbvwAAABUBAAALAAAA&#10;AAAAAAAAAAAAAB8BAABfcmVscy8ucmVsc1BLAQItABQABgAIAAAAIQBfvgdNwgAAANsAAAAPAAAA&#10;AAAAAAAAAAAAAAcCAABkcnMvZG93bnJldi54bWxQSwUGAAAAAAMAAwC3AAAA9gIAAAAA&#10;" fillcolor="red" stroked="f" strokeweight="1pt"/>
                <v:rect id="Prostokąt 13" o:spid="_x0000_s1029" style="position:absolute;left:4921;top:215;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qLWwAAAANsAAAAPAAAAZHJzL2Rvd25yZXYueG1sRE/bisIw&#10;EH1f8B/CCL5pquKFahTRdREfBC8fMDRjWmwmpclq3a83grBvczjXmS8bW4o71b5wrKDfS0AQZ04X&#10;bBRcztvuFIQPyBpLx6TgSR6Wi9bXHFPtHnyk+ykYEUPYp6ggD6FKpfRZThZ9z1XEkbu62mKIsDZS&#10;1/iI4baUgyQZS4sFx4YcK1rnlN1Ov1ZBGA//5P7wszlOqu1lNPo2NJBGqU67Wc1ABGrCv/jj3uk4&#10;fwjvX+IBcvECAAD//wMAUEsBAi0AFAAGAAgAAAAhANvh9svuAAAAhQEAABMAAAAAAAAAAAAAAAAA&#10;AAAAAFtDb250ZW50X1R5cGVzXS54bWxQSwECLQAUAAYACAAAACEAWvQsW78AAAAVAQAACwAAAAAA&#10;AAAAAAAAAAAfAQAAX3JlbHMvLnJlbHNQSwECLQAUAAYACAAAACEAMPKi1sAAAADbAAAADwAAAAAA&#10;AAAAAAAAAAAHAgAAZHJzL2Rvd25yZXYueG1sUEsFBgAAAAADAAMAtwAAAPQCAAAAAA==&#10;" fillcolor="red" stroked="f" strokeweight="1pt"/>
                <w10:wrap anchorx="margin"/>
              </v:group>
            </w:pict>
          </mc:Fallback>
        </mc:AlternateContent>
      </w:r>
    </w:p>
    <w:p w14:paraId="30E44819" w14:textId="77777777" w:rsidR="00C36ED7" w:rsidRPr="00B43BA4" w:rsidRDefault="00C36ED7" w:rsidP="00C36ED7">
      <w:pPr>
        <w:suppressAutoHyphens/>
        <w:spacing w:before="120" w:after="120" w:line="240" w:lineRule="auto"/>
        <w:rPr>
          <w:rFonts w:asciiTheme="majorHAnsi" w:hAnsiTheme="majorHAnsi" w:cstheme="majorHAnsi"/>
          <w:sz w:val="20"/>
          <w:szCs w:val="20"/>
          <w:u w:val="single"/>
          <w:shd w:val="clear" w:color="auto" w:fill="FFFFFF"/>
          <w:lang w:val="en-US" w:eastAsia="ar-SA"/>
        </w:rPr>
      </w:pPr>
      <w:proofErr w:type="spellStart"/>
      <w:r w:rsidRPr="00B43BA4">
        <w:rPr>
          <w:rFonts w:asciiTheme="majorHAnsi" w:hAnsiTheme="majorHAnsi" w:cstheme="majorHAnsi"/>
          <w:sz w:val="20"/>
          <w:szCs w:val="20"/>
          <w:u w:val="single"/>
          <w:shd w:val="clear" w:color="auto" w:fill="FFFFFF"/>
          <w:lang w:val="en-US" w:eastAsia="ar-SA"/>
        </w:rPr>
        <w:t>Dodatkowych</w:t>
      </w:r>
      <w:proofErr w:type="spellEnd"/>
      <w:r w:rsidRPr="00B43BA4">
        <w:rPr>
          <w:rFonts w:asciiTheme="majorHAnsi" w:hAnsiTheme="majorHAnsi" w:cstheme="majorHAnsi"/>
          <w:sz w:val="20"/>
          <w:szCs w:val="20"/>
          <w:u w:val="single"/>
          <w:shd w:val="clear" w:color="auto" w:fill="FFFFFF"/>
          <w:lang w:val="en-US" w:eastAsia="ar-SA"/>
        </w:rPr>
        <w:t xml:space="preserve"> </w:t>
      </w:r>
      <w:proofErr w:type="spellStart"/>
      <w:r w:rsidRPr="00B43BA4">
        <w:rPr>
          <w:rFonts w:asciiTheme="majorHAnsi" w:hAnsiTheme="majorHAnsi" w:cstheme="majorHAnsi"/>
          <w:sz w:val="20"/>
          <w:szCs w:val="20"/>
          <w:u w:val="single"/>
          <w:shd w:val="clear" w:color="auto" w:fill="FFFFFF"/>
          <w:lang w:val="en-US" w:eastAsia="ar-SA"/>
        </w:rPr>
        <w:t>informacji</w:t>
      </w:r>
      <w:proofErr w:type="spellEnd"/>
      <w:r w:rsidRPr="00B43BA4">
        <w:rPr>
          <w:rFonts w:asciiTheme="majorHAnsi" w:hAnsiTheme="majorHAnsi" w:cstheme="majorHAnsi"/>
          <w:sz w:val="20"/>
          <w:szCs w:val="20"/>
          <w:u w:val="single"/>
          <w:shd w:val="clear" w:color="auto" w:fill="FFFFFF"/>
          <w:lang w:val="en-US" w:eastAsia="ar-SA"/>
        </w:rPr>
        <w:t xml:space="preserve"> </w:t>
      </w:r>
      <w:proofErr w:type="spellStart"/>
      <w:r w:rsidRPr="00B43BA4">
        <w:rPr>
          <w:rFonts w:asciiTheme="majorHAnsi" w:hAnsiTheme="majorHAnsi" w:cstheme="majorHAnsi"/>
          <w:sz w:val="20"/>
          <w:szCs w:val="20"/>
          <w:u w:val="single"/>
          <w:shd w:val="clear" w:color="auto" w:fill="FFFFFF"/>
          <w:lang w:val="en-US" w:eastAsia="ar-SA"/>
        </w:rPr>
        <w:t>udziela</w:t>
      </w:r>
      <w:proofErr w:type="spellEnd"/>
      <w:r w:rsidRPr="00B43BA4">
        <w:rPr>
          <w:rFonts w:asciiTheme="majorHAnsi" w:hAnsiTheme="majorHAnsi" w:cstheme="majorHAnsi"/>
          <w:sz w:val="20"/>
          <w:szCs w:val="20"/>
          <w:u w:val="single"/>
          <w:shd w:val="clear" w:color="auto" w:fill="FFFFFF"/>
          <w:lang w:val="en-US" w:eastAsia="ar-SA"/>
        </w:rPr>
        <w:t>:</w:t>
      </w:r>
    </w:p>
    <w:p w14:paraId="76CFF1ED" w14:textId="77777777" w:rsidR="00C36ED7" w:rsidRPr="00C408B3" w:rsidRDefault="00C36ED7" w:rsidP="00C36ED7">
      <w:pPr>
        <w:suppressAutoHyphens/>
        <w:spacing w:line="240" w:lineRule="auto"/>
        <w:rPr>
          <w:rFonts w:asciiTheme="majorHAnsi" w:hAnsiTheme="majorHAnsi" w:cstheme="majorHAnsi"/>
          <w:b/>
          <w:sz w:val="20"/>
          <w:szCs w:val="20"/>
          <w:shd w:val="clear" w:color="auto" w:fill="FFFFFF"/>
          <w:lang w:val="en-US" w:eastAsia="ar-SA"/>
        </w:rPr>
      </w:pPr>
      <w:r w:rsidRPr="00C408B3">
        <w:rPr>
          <w:rFonts w:asciiTheme="majorHAnsi" w:hAnsiTheme="majorHAnsi" w:cstheme="majorHAnsi"/>
          <w:b/>
          <w:sz w:val="20"/>
          <w:szCs w:val="20"/>
          <w:shd w:val="clear" w:color="auto" w:fill="FFFFFF"/>
          <w:lang w:val="en-US" w:eastAsia="ar-SA"/>
        </w:rPr>
        <w:t>Łukasz Borkowski</w:t>
      </w:r>
    </w:p>
    <w:p w14:paraId="228107DC" w14:textId="77777777" w:rsidR="00C36ED7" w:rsidRPr="00C408B3" w:rsidRDefault="00C36ED7" w:rsidP="00C36ED7">
      <w:pPr>
        <w:suppressAutoHyphens/>
        <w:spacing w:line="240" w:lineRule="auto"/>
        <w:rPr>
          <w:rFonts w:asciiTheme="majorHAnsi" w:hAnsiTheme="majorHAnsi" w:cstheme="majorHAnsi"/>
          <w:bCs/>
          <w:sz w:val="20"/>
          <w:szCs w:val="20"/>
          <w:shd w:val="clear" w:color="auto" w:fill="FFFFFF"/>
          <w:lang w:val="en-US" w:eastAsia="ar-SA"/>
        </w:rPr>
      </w:pPr>
      <w:r w:rsidRPr="00C408B3">
        <w:rPr>
          <w:rFonts w:asciiTheme="majorHAnsi" w:hAnsiTheme="majorHAnsi" w:cstheme="majorHAnsi"/>
          <w:bCs/>
          <w:sz w:val="20"/>
          <w:szCs w:val="20"/>
          <w:shd w:val="clear" w:color="auto" w:fill="FFFFFF"/>
          <w:lang w:val="en-US" w:eastAsia="ar-SA"/>
        </w:rPr>
        <w:t>Head of Corporate Communications &amp; Investor Relations</w:t>
      </w:r>
    </w:p>
    <w:p w14:paraId="70E99243" w14:textId="7BE20FF9" w:rsidR="0080615A" w:rsidRDefault="00C36ED7" w:rsidP="00B43BA4">
      <w:pPr>
        <w:suppressAutoHyphens/>
        <w:spacing w:line="240" w:lineRule="auto"/>
        <w:rPr>
          <w:rFonts w:asciiTheme="majorHAnsi" w:hAnsiTheme="majorHAnsi" w:cstheme="majorHAnsi"/>
          <w:color w:val="000080"/>
          <w:sz w:val="20"/>
          <w:szCs w:val="20"/>
          <w:u w:val="single"/>
          <w:shd w:val="clear" w:color="auto" w:fill="FFFFFF"/>
          <w:lang w:eastAsia="ar-SA"/>
        </w:rPr>
      </w:pPr>
      <w:r w:rsidRPr="004009C7">
        <w:rPr>
          <w:rFonts w:asciiTheme="majorHAnsi" w:hAnsiTheme="majorHAnsi" w:cstheme="majorHAnsi"/>
          <w:bCs/>
          <w:sz w:val="20"/>
          <w:szCs w:val="20"/>
          <w:shd w:val="clear" w:color="auto" w:fill="FFFFFF"/>
          <w:lang w:eastAsia="ar-SA"/>
        </w:rPr>
        <w:lastRenderedPageBreak/>
        <w:t>e-mail:</w:t>
      </w:r>
      <w:r w:rsidRPr="004009C7">
        <w:rPr>
          <w:rFonts w:asciiTheme="majorHAnsi" w:hAnsiTheme="majorHAnsi" w:cstheme="majorHAnsi"/>
          <w:sz w:val="20"/>
          <w:szCs w:val="20"/>
          <w:u w:val="single"/>
          <w:shd w:val="clear" w:color="auto" w:fill="FFFFFF"/>
          <w:lang w:eastAsia="ar-SA"/>
        </w:rPr>
        <w:t xml:space="preserve"> </w:t>
      </w:r>
      <w:hyperlink r:id="rId8" w:history="1">
        <w:r w:rsidRPr="004009C7">
          <w:rPr>
            <w:rFonts w:asciiTheme="majorHAnsi" w:hAnsiTheme="majorHAnsi" w:cstheme="majorHAnsi"/>
            <w:color w:val="000080"/>
            <w:sz w:val="20"/>
            <w:szCs w:val="20"/>
            <w:u w:val="single"/>
            <w:shd w:val="clear" w:color="auto" w:fill="FFFFFF"/>
            <w:lang w:eastAsia="ar-SA"/>
          </w:rPr>
          <w:t>pr@atal.pl</w:t>
        </w:r>
      </w:hyperlink>
      <w:r w:rsidRPr="004009C7">
        <w:rPr>
          <w:rFonts w:asciiTheme="majorHAnsi" w:hAnsiTheme="majorHAnsi" w:cstheme="majorHAnsi"/>
          <w:color w:val="000080"/>
          <w:sz w:val="20"/>
          <w:szCs w:val="20"/>
          <w:u w:val="single"/>
          <w:shd w:val="clear" w:color="auto" w:fill="FFFFFF"/>
          <w:lang w:eastAsia="ar-SA"/>
        </w:rPr>
        <w:t xml:space="preserve"> </w:t>
      </w:r>
      <w:bookmarkEnd w:id="0"/>
    </w:p>
    <w:p w14:paraId="7E999BB5" w14:textId="77777777" w:rsidR="0030568C" w:rsidRPr="0030568C" w:rsidRDefault="0030568C" w:rsidP="0030568C">
      <w:pPr>
        <w:suppressAutoHyphens/>
        <w:spacing w:line="240" w:lineRule="auto"/>
        <w:jc w:val="both"/>
        <w:rPr>
          <w:rFonts w:asciiTheme="majorHAnsi" w:hAnsiTheme="majorHAnsi" w:cstheme="majorHAnsi"/>
        </w:rPr>
      </w:pPr>
      <w:r w:rsidRPr="0030568C">
        <w:rPr>
          <w:rFonts w:asciiTheme="majorHAnsi" w:hAnsiTheme="majorHAnsi" w:cstheme="majorHAnsi"/>
          <w:b/>
          <w:bCs/>
        </w:rPr>
        <w:t>Zastrzeżenie prawne</w:t>
      </w:r>
    </w:p>
    <w:p w14:paraId="65F76AAF" w14:textId="77777777" w:rsidR="0030568C" w:rsidRPr="0030568C" w:rsidRDefault="0030568C" w:rsidP="0030568C">
      <w:pPr>
        <w:suppressAutoHyphens/>
        <w:spacing w:line="240" w:lineRule="auto"/>
        <w:jc w:val="both"/>
        <w:rPr>
          <w:rFonts w:asciiTheme="majorHAnsi" w:hAnsiTheme="majorHAnsi" w:cstheme="majorHAnsi"/>
        </w:rPr>
      </w:pPr>
      <w:r w:rsidRPr="0030568C">
        <w:rPr>
          <w:rFonts w:asciiTheme="majorHAnsi" w:hAnsiTheme="majorHAnsi" w:cstheme="majorHAnsi"/>
          <w:b/>
          <w:bCs/>
        </w:rPr>
        <w:t>NIE DO OGÓLNEGO ROZPOWSZECHNIANIA, PUBLIKACJI LUB DYSTRYBUCJI, BEZPOŚREDNIO LUB POŚREDNIO, W CAŁOŚCI LUB W CZĘŚCI, NA TERYTORIUM ALBO DO STANÓW ZJEDNOCZONYCH AMERYKI, AUSTRALII, KANADY LUB JAPONII</w:t>
      </w:r>
    </w:p>
    <w:p w14:paraId="5FC4A632" w14:textId="01CA66BF" w:rsidR="0030568C" w:rsidRPr="0030568C" w:rsidRDefault="0030568C" w:rsidP="0030568C">
      <w:pPr>
        <w:suppressAutoHyphens/>
        <w:spacing w:line="240" w:lineRule="auto"/>
        <w:jc w:val="both"/>
        <w:rPr>
          <w:rFonts w:asciiTheme="majorHAnsi" w:hAnsiTheme="majorHAnsi" w:cstheme="majorHAnsi"/>
        </w:rPr>
      </w:pPr>
      <w:r w:rsidRPr="0030568C">
        <w:rPr>
          <w:rFonts w:asciiTheme="majorHAnsi" w:hAnsiTheme="majorHAnsi" w:cstheme="majorHAnsi"/>
        </w:rPr>
        <w:t>Niniejsz</w:t>
      </w:r>
      <w:r>
        <w:rPr>
          <w:rFonts w:asciiTheme="majorHAnsi" w:hAnsiTheme="majorHAnsi" w:cstheme="majorHAnsi"/>
        </w:rPr>
        <w:t>y komunikat prasowy („</w:t>
      </w:r>
      <w:r w:rsidRPr="0030568C">
        <w:rPr>
          <w:rFonts w:asciiTheme="majorHAnsi" w:hAnsiTheme="majorHAnsi" w:cstheme="majorHAnsi"/>
          <w:b/>
          <w:bCs/>
        </w:rPr>
        <w:t>Komunikat</w:t>
      </w:r>
      <w:r>
        <w:rPr>
          <w:rFonts w:asciiTheme="majorHAnsi" w:hAnsiTheme="majorHAnsi" w:cstheme="majorHAnsi"/>
        </w:rPr>
        <w:t>”)</w:t>
      </w:r>
      <w:r w:rsidRPr="0030568C">
        <w:rPr>
          <w:rFonts w:asciiTheme="majorHAnsi" w:hAnsiTheme="majorHAnsi" w:cstheme="majorHAnsi"/>
        </w:rPr>
        <w:t xml:space="preserve"> został przygotowan</w:t>
      </w:r>
      <w:r>
        <w:rPr>
          <w:rFonts w:asciiTheme="majorHAnsi" w:hAnsiTheme="majorHAnsi" w:cstheme="majorHAnsi"/>
        </w:rPr>
        <w:t>y</w:t>
      </w:r>
      <w:r w:rsidRPr="0030568C">
        <w:rPr>
          <w:rFonts w:asciiTheme="majorHAnsi" w:hAnsiTheme="majorHAnsi" w:cstheme="majorHAnsi"/>
        </w:rPr>
        <w:t xml:space="preserve"> wyłącznie w celach informacyjnych i w celu przedstawienia wybranych informacji dotyczących ATAL S.A. („</w:t>
      </w:r>
      <w:r w:rsidRPr="0030568C">
        <w:rPr>
          <w:rFonts w:asciiTheme="majorHAnsi" w:hAnsiTheme="majorHAnsi" w:cstheme="majorHAnsi"/>
          <w:b/>
          <w:bCs/>
        </w:rPr>
        <w:t>Spółka</w:t>
      </w:r>
      <w:r w:rsidRPr="0030568C">
        <w:rPr>
          <w:rFonts w:asciiTheme="majorHAnsi" w:hAnsiTheme="majorHAnsi" w:cstheme="majorHAnsi"/>
        </w:rPr>
        <w:t>”).</w:t>
      </w:r>
    </w:p>
    <w:p w14:paraId="1628B837" w14:textId="15FCDDF6" w:rsidR="0030568C" w:rsidRPr="0030568C" w:rsidRDefault="0030568C" w:rsidP="0030568C">
      <w:pPr>
        <w:suppressAutoHyphens/>
        <w:spacing w:line="240" w:lineRule="auto"/>
        <w:jc w:val="both"/>
        <w:rPr>
          <w:rFonts w:asciiTheme="majorHAnsi" w:hAnsiTheme="majorHAnsi" w:cstheme="majorHAnsi"/>
        </w:rPr>
      </w:pPr>
      <w:r w:rsidRPr="0030568C">
        <w:rPr>
          <w:rFonts w:asciiTheme="majorHAnsi" w:hAnsiTheme="majorHAnsi" w:cstheme="majorHAnsi"/>
        </w:rPr>
        <w:t>Niniejsz</w:t>
      </w:r>
      <w:r>
        <w:rPr>
          <w:rFonts w:asciiTheme="majorHAnsi" w:hAnsiTheme="majorHAnsi" w:cstheme="majorHAnsi"/>
        </w:rPr>
        <w:t>y</w:t>
      </w:r>
      <w:r w:rsidRPr="0030568C">
        <w:rPr>
          <w:rFonts w:asciiTheme="majorHAnsi" w:hAnsiTheme="majorHAnsi" w:cstheme="majorHAnsi"/>
        </w:rPr>
        <w:t xml:space="preserve"> </w:t>
      </w:r>
      <w:r>
        <w:rPr>
          <w:rFonts w:asciiTheme="majorHAnsi" w:hAnsiTheme="majorHAnsi" w:cstheme="majorHAnsi"/>
        </w:rPr>
        <w:t>Komunikat</w:t>
      </w:r>
      <w:r w:rsidRPr="0030568C">
        <w:rPr>
          <w:rFonts w:asciiTheme="majorHAnsi" w:hAnsiTheme="majorHAnsi" w:cstheme="majorHAnsi"/>
        </w:rPr>
        <w:t xml:space="preserve"> ani żadna z je</w:t>
      </w:r>
      <w:r>
        <w:rPr>
          <w:rFonts w:asciiTheme="majorHAnsi" w:hAnsiTheme="majorHAnsi" w:cstheme="majorHAnsi"/>
        </w:rPr>
        <w:t xml:space="preserve">go </w:t>
      </w:r>
      <w:r w:rsidRPr="0030568C">
        <w:rPr>
          <w:rFonts w:asciiTheme="majorHAnsi" w:hAnsiTheme="majorHAnsi" w:cstheme="majorHAnsi"/>
        </w:rPr>
        <w:t>części nie stanowi i nie powin</w:t>
      </w:r>
      <w:r>
        <w:rPr>
          <w:rFonts w:asciiTheme="majorHAnsi" w:hAnsiTheme="majorHAnsi" w:cstheme="majorHAnsi"/>
        </w:rPr>
        <w:t>ien</w:t>
      </w:r>
      <w:r w:rsidRPr="0030568C">
        <w:rPr>
          <w:rFonts w:asciiTheme="majorHAnsi" w:hAnsiTheme="majorHAnsi" w:cstheme="majorHAnsi"/>
        </w:rPr>
        <w:t xml:space="preserve"> być postrzegana jako oferta sprzedaży lub zaproszenie do złożenia oferty zakupu papierów wartościowych Spółki lub innych członków jej grupy kapitałowej („</w:t>
      </w:r>
      <w:r w:rsidRPr="0030568C">
        <w:rPr>
          <w:rFonts w:asciiTheme="majorHAnsi" w:hAnsiTheme="majorHAnsi" w:cstheme="majorHAnsi"/>
          <w:b/>
          <w:bCs/>
        </w:rPr>
        <w:t>Grupa</w:t>
      </w:r>
      <w:r w:rsidRPr="0030568C">
        <w:rPr>
          <w:rFonts w:asciiTheme="majorHAnsi" w:hAnsiTheme="majorHAnsi" w:cstheme="majorHAnsi"/>
        </w:rPr>
        <w:t>”), nie powin</w:t>
      </w:r>
      <w:r>
        <w:rPr>
          <w:rFonts w:asciiTheme="majorHAnsi" w:hAnsiTheme="majorHAnsi" w:cstheme="majorHAnsi"/>
        </w:rPr>
        <w:t>ien</w:t>
      </w:r>
      <w:r w:rsidRPr="0030568C">
        <w:rPr>
          <w:rFonts w:asciiTheme="majorHAnsi" w:hAnsiTheme="majorHAnsi" w:cstheme="majorHAnsi"/>
        </w:rPr>
        <w:t xml:space="preserve"> również stanowić podstawy podejmowania decyzji w związku z żadną umową nabycia lub składania zapisów na jakiekolwiek papiery wartościowe Spółki lub jakiegokolwiek członka Grupy ani żadną inną umową lub zobowiązaniem. Niniejsz</w:t>
      </w:r>
      <w:r>
        <w:rPr>
          <w:rFonts w:asciiTheme="majorHAnsi" w:hAnsiTheme="majorHAnsi" w:cstheme="majorHAnsi"/>
        </w:rPr>
        <w:t>y</w:t>
      </w:r>
      <w:r w:rsidRPr="0030568C">
        <w:rPr>
          <w:rFonts w:asciiTheme="majorHAnsi" w:hAnsiTheme="majorHAnsi" w:cstheme="majorHAnsi"/>
        </w:rPr>
        <w:t xml:space="preserve"> </w:t>
      </w:r>
      <w:r>
        <w:rPr>
          <w:rFonts w:asciiTheme="majorHAnsi" w:hAnsiTheme="majorHAnsi" w:cstheme="majorHAnsi"/>
        </w:rPr>
        <w:t>Komunikat</w:t>
      </w:r>
      <w:r w:rsidRPr="0030568C">
        <w:rPr>
          <w:rFonts w:asciiTheme="majorHAnsi" w:hAnsiTheme="majorHAnsi" w:cstheme="majorHAnsi"/>
        </w:rPr>
        <w:t xml:space="preserve"> nie stanowi rekomendacji inwestycyjnej w rozumieniu Rozporządzenia w sprawie nadużyć na rynku (Rozporządzenie (UE) nr 596/2014) oraz Rozporządzenia delegowanego Komisji (UE) 2016/958 z dnia 9 marca 2016 uzupełniającego Rozporządzenie w sprawie nadużyć na rynku w odniesieniu do regulacyjnych standardów technicznych dotyczących środków technicznych do celów obiektywnej prezentacji rekomendacji inwestycyjnych lub innych prezentacji rekomendujących lub sugerujących strategię inwestycyjna oraz ujawnienia interesów partykularnych lub wskazań konfliktów interesów ani nie stanowi on porady prawnej, podatkowej lub finansowej.</w:t>
      </w:r>
    </w:p>
    <w:p w14:paraId="332FC69C" w14:textId="29107EEF" w:rsidR="0030568C" w:rsidRPr="0030568C" w:rsidRDefault="0030568C" w:rsidP="0030568C">
      <w:pPr>
        <w:suppressAutoHyphens/>
        <w:spacing w:line="240" w:lineRule="auto"/>
        <w:jc w:val="both"/>
        <w:rPr>
          <w:rFonts w:asciiTheme="majorHAnsi" w:hAnsiTheme="majorHAnsi" w:cstheme="majorHAnsi"/>
        </w:rPr>
      </w:pPr>
      <w:r w:rsidRPr="0030568C">
        <w:rPr>
          <w:rFonts w:asciiTheme="majorHAnsi" w:hAnsiTheme="majorHAnsi" w:cstheme="majorHAnsi"/>
        </w:rPr>
        <w:t>Niniejsz</w:t>
      </w:r>
      <w:r>
        <w:rPr>
          <w:rFonts w:asciiTheme="majorHAnsi" w:hAnsiTheme="majorHAnsi" w:cstheme="majorHAnsi"/>
        </w:rPr>
        <w:t>y Komunikat</w:t>
      </w:r>
      <w:r w:rsidRPr="0030568C">
        <w:rPr>
          <w:rFonts w:asciiTheme="majorHAnsi" w:hAnsiTheme="majorHAnsi" w:cstheme="majorHAnsi"/>
        </w:rPr>
        <w:t xml:space="preserve"> jest dokumentem wyłącznie promocyjnym i nie stanowi prospektu w rozumieniu Rozporządzenia Parlamentu Europejskiego i Rady (UE) 2017/1129 z dnia 14 czerwca 2017 r. w sprawie prospektu, który ma być publikowany w związku z ofertą publiczną papierów wartościowych lub dopuszczeniem ich do obrotu na rynku regulowanym oraz uchylenia dyrektywy 2003/71/WE ani innego dokumentu ofertowego w rozumieniu odpowiednich przepisów i nie stanowi oferty sprzedaży, zaproszenia do nabycia papierów wartościowych, oferty zakupu ani zaproszenia do złożenia oferty zakupu lub zapisów na papiery wartościowe.</w:t>
      </w:r>
    </w:p>
    <w:p w14:paraId="4AE32417" w14:textId="3F5FB52C" w:rsidR="0030568C" w:rsidRPr="0030568C" w:rsidRDefault="0030568C" w:rsidP="0030568C">
      <w:pPr>
        <w:suppressAutoHyphens/>
        <w:spacing w:line="240" w:lineRule="auto"/>
        <w:jc w:val="both"/>
        <w:rPr>
          <w:rFonts w:asciiTheme="majorHAnsi" w:hAnsiTheme="majorHAnsi" w:cstheme="majorHAnsi"/>
        </w:rPr>
      </w:pPr>
      <w:r w:rsidRPr="0030568C">
        <w:rPr>
          <w:rFonts w:asciiTheme="majorHAnsi" w:hAnsiTheme="majorHAnsi" w:cstheme="majorHAnsi"/>
        </w:rPr>
        <w:t>Informacje zawarte w niniejsz</w:t>
      </w:r>
      <w:r>
        <w:rPr>
          <w:rFonts w:asciiTheme="majorHAnsi" w:hAnsiTheme="majorHAnsi" w:cstheme="majorHAnsi"/>
        </w:rPr>
        <w:t>ym</w:t>
      </w:r>
      <w:r w:rsidRPr="0030568C">
        <w:rPr>
          <w:rFonts w:asciiTheme="majorHAnsi" w:hAnsiTheme="majorHAnsi" w:cstheme="majorHAnsi"/>
        </w:rPr>
        <w:t xml:space="preserve"> </w:t>
      </w:r>
      <w:r>
        <w:rPr>
          <w:rFonts w:asciiTheme="majorHAnsi" w:hAnsiTheme="majorHAnsi" w:cstheme="majorHAnsi"/>
        </w:rPr>
        <w:t>Komunikacie</w:t>
      </w:r>
      <w:r w:rsidRPr="0030568C">
        <w:rPr>
          <w:rFonts w:asciiTheme="majorHAnsi" w:hAnsiTheme="majorHAnsi" w:cstheme="majorHAnsi"/>
        </w:rPr>
        <w:t xml:space="preserve"> nie podlegały niezależnej weryfikacji. Żadne oświadczenie lub zobowiązanie, wyraźne lub dorozumiane, nie jest składane lub zaciągane w związku z prawdziwością, dokładnością, kompletnością lub poprawnością informacji lub opinii zawartych w </w:t>
      </w:r>
      <w:r>
        <w:rPr>
          <w:rFonts w:asciiTheme="majorHAnsi" w:hAnsiTheme="majorHAnsi" w:cstheme="majorHAnsi"/>
        </w:rPr>
        <w:t>niniejszym Komunikacie</w:t>
      </w:r>
      <w:r w:rsidRPr="0030568C">
        <w:rPr>
          <w:rFonts w:asciiTheme="majorHAnsi" w:hAnsiTheme="majorHAnsi" w:cstheme="majorHAnsi"/>
        </w:rPr>
        <w:t>.</w:t>
      </w:r>
    </w:p>
    <w:p w14:paraId="06EC62E5" w14:textId="1AA92A46" w:rsidR="0030568C" w:rsidRPr="0030568C" w:rsidRDefault="0030568C" w:rsidP="0030568C">
      <w:pPr>
        <w:suppressAutoHyphens/>
        <w:spacing w:line="240" w:lineRule="auto"/>
        <w:jc w:val="both"/>
        <w:rPr>
          <w:rFonts w:asciiTheme="majorHAnsi" w:hAnsiTheme="majorHAnsi" w:cstheme="majorHAnsi"/>
        </w:rPr>
      </w:pPr>
      <w:r w:rsidRPr="0030568C">
        <w:rPr>
          <w:rFonts w:asciiTheme="majorHAnsi" w:hAnsiTheme="majorHAnsi" w:cstheme="majorHAnsi"/>
        </w:rPr>
        <w:t xml:space="preserve">Informacje, opinie i stwierdzenia dotyczące przyszłości zawarte w </w:t>
      </w:r>
      <w:r>
        <w:rPr>
          <w:rFonts w:asciiTheme="majorHAnsi" w:hAnsiTheme="majorHAnsi" w:cstheme="majorHAnsi"/>
        </w:rPr>
        <w:t>niniejszym Komunikacie</w:t>
      </w:r>
      <w:r w:rsidRPr="0030568C">
        <w:rPr>
          <w:rFonts w:asciiTheme="majorHAnsi" w:hAnsiTheme="majorHAnsi" w:cstheme="majorHAnsi"/>
        </w:rPr>
        <w:t xml:space="preserve"> są aktualne na datę </w:t>
      </w:r>
      <w:r>
        <w:rPr>
          <w:rFonts w:asciiTheme="majorHAnsi" w:hAnsiTheme="majorHAnsi" w:cstheme="majorHAnsi"/>
        </w:rPr>
        <w:t>Komunikatu</w:t>
      </w:r>
      <w:r w:rsidRPr="0030568C">
        <w:rPr>
          <w:rFonts w:asciiTheme="majorHAnsi" w:hAnsiTheme="majorHAnsi" w:cstheme="majorHAnsi"/>
        </w:rPr>
        <w:t xml:space="preserve"> i mogą podlegać zmianom bez zawiadomienia. Spółka nie ma obowiązku aktualizacji informacji zawartych w niniejsz</w:t>
      </w:r>
      <w:r>
        <w:rPr>
          <w:rFonts w:asciiTheme="majorHAnsi" w:hAnsiTheme="majorHAnsi" w:cstheme="majorHAnsi"/>
        </w:rPr>
        <w:t>ym Komunikacie</w:t>
      </w:r>
      <w:r w:rsidRPr="0030568C">
        <w:rPr>
          <w:rFonts w:asciiTheme="majorHAnsi" w:hAnsiTheme="majorHAnsi" w:cstheme="majorHAnsi"/>
        </w:rPr>
        <w:t>. W zakresie dopuszczalnym przez obowiązujące przepisy prawa, Spółka ani zarząd oraz żaden z jej podmiotów powiązanych, doradców lub przedstawicieli nie ponosi odpowiedzialności za jakąkolwiek szkodę spowodowaną wykorzystaniem niniejsze</w:t>
      </w:r>
      <w:r>
        <w:rPr>
          <w:rFonts w:asciiTheme="majorHAnsi" w:hAnsiTheme="majorHAnsi" w:cstheme="majorHAnsi"/>
        </w:rPr>
        <w:t>go Komunikatu</w:t>
      </w:r>
      <w:r w:rsidRPr="0030568C">
        <w:rPr>
          <w:rFonts w:asciiTheme="majorHAnsi" w:hAnsiTheme="majorHAnsi" w:cstheme="majorHAnsi"/>
        </w:rPr>
        <w:t xml:space="preserve"> lub je</w:t>
      </w:r>
      <w:r>
        <w:rPr>
          <w:rFonts w:asciiTheme="majorHAnsi" w:hAnsiTheme="majorHAnsi" w:cstheme="majorHAnsi"/>
        </w:rPr>
        <w:t xml:space="preserve">go </w:t>
      </w:r>
      <w:r w:rsidRPr="0030568C">
        <w:rPr>
          <w:rFonts w:asciiTheme="majorHAnsi" w:hAnsiTheme="majorHAnsi" w:cstheme="majorHAnsi"/>
        </w:rPr>
        <w:t>zawartości lub w jakikolwiek inny sposób związaną z niniejsz</w:t>
      </w:r>
      <w:r>
        <w:rPr>
          <w:rFonts w:asciiTheme="majorHAnsi" w:hAnsiTheme="majorHAnsi" w:cstheme="majorHAnsi"/>
        </w:rPr>
        <w:t>ym Komunikatem</w:t>
      </w:r>
      <w:r w:rsidRPr="0030568C">
        <w:rPr>
          <w:rFonts w:asciiTheme="majorHAnsi" w:hAnsiTheme="majorHAnsi" w:cstheme="majorHAnsi"/>
        </w:rPr>
        <w:t>.</w:t>
      </w:r>
    </w:p>
    <w:p w14:paraId="359AAB2E" w14:textId="3BC85812" w:rsidR="0030568C" w:rsidRPr="0030568C" w:rsidRDefault="0030568C" w:rsidP="0030568C">
      <w:pPr>
        <w:suppressAutoHyphens/>
        <w:spacing w:line="240" w:lineRule="auto"/>
        <w:jc w:val="both"/>
        <w:rPr>
          <w:rFonts w:asciiTheme="majorHAnsi" w:hAnsiTheme="majorHAnsi" w:cstheme="majorHAnsi"/>
        </w:rPr>
      </w:pPr>
      <w:r w:rsidRPr="0030568C">
        <w:rPr>
          <w:rFonts w:asciiTheme="majorHAnsi" w:hAnsiTheme="majorHAnsi" w:cstheme="majorHAnsi"/>
        </w:rPr>
        <w:t>Niniejsz</w:t>
      </w:r>
      <w:r>
        <w:rPr>
          <w:rFonts w:asciiTheme="majorHAnsi" w:hAnsiTheme="majorHAnsi" w:cstheme="majorHAnsi"/>
        </w:rPr>
        <w:t>y</w:t>
      </w:r>
      <w:r w:rsidRPr="0030568C">
        <w:rPr>
          <w:rFonts w:asciiTheme="majorHAnsi" w:hAnsiTheme="majorHAnsi" w:cstheme="majorHAnsi"/>
        </w:rPr>
        <w:t xml:space="preserve"> </w:t>
      </w:r>
      <w:r>
        <w:rPr>
          <w:rFonts w:asciiTheme="majorHAnsi" w:hAnsiTheme="majorHAnsi" w:cstheme="majorHAnsi"/>
        </w:rPr>
        <w:t xml:space="preserve">Komunikat </w:t>
      </w:r>
      <w:r w:rsidRPr="0030568C">
        <w:rPr>
          <w:rFonts w:asciiTheme="majorHAnsi" w:hAnsiTheme="majorHAnsi" w:cstheme="majorHAnsi"/>
        </w:rPr>
        <w:t>zawiera pewne informacje statystyczne i rynkowe. Takie dane rynkowe pochodzą od lub zostały obliczone na podstawie danych pochodzących od osób trzecich wskazanych w niniejsz</w:t>
      </w:r>
      <w:r>
        <w:rPr>
          <w:rFonts w:asciiTheme="majorHAnsi" w:hAnsiTheme="majorHAnsi" w:cstheme="majorHAnsi"/>
        </w:rPr>
        <w:t>ym Komunikacie</w:t>
      </w:r>
      <w:r w:rsidRPr="0030568C">
        <w:rPr>
          <w:rFonts w:asciiTheme="majorHAnsi" w:hAnsiTheme="majorHAnsi" w:cstheme="majorHAnsi"/>
        </w:rPr>
        <w:t xml:space="preserve"> lub od Spółki, jeżeli nie zostało wyraźnie wskazane, że pochodzą od osób trzecich. W związku z tym, że takie dane rynkowe zostały przygotowane częściowo w oparciu o szacunki, oceny, opinie i sądy oparte na doświadczeniu Spółki lub osób trzecich będących źródłem określonych informacji i na ich znajomości rynku, na którym Grupa prowadzi działalność, jak również nie zostały niezależnie zweryfikowane przez żadną osobę trzecią, takie dane rynkowe należy po części traktować jako informacje subiektywne. Mimo że zakłada </w:t>
      </w:r>
      <w:r w:rsidRPr="0030568C">
        <w:rPr>
          <w:rFonts w:asciiTheme="majorHAnsi" w:hAnsiTheme="majorHAnsi" w:cstheme="majorHAnsi"/>
        </w:rPr>
        <w:lastRenderedPageBreak/>
        <w:t>się, że takie szacunki, oceny, opinie i sądy są zasadne oraz że dane rynkowe zostały prawidłowo odzwierciedlają branżę i rynek, na którym Grupa prowadzi działalność, nie można zapewnić, że takie szacunki, oceny, opinie i sądy są najbardziej właściwe do dokonywania ustaleń w zakresie danych rynkowych lub że dane rynkowe pochodzące z innych źródeł nie będą się istotnie różniły od danych rynkowych zawartych w niniejsz</w:t>
      </w:r>
      <w:r w:rsidR="003F4C55">
        <w:rPr>
          <w:rFonts w:asciiTheme="majorHAnsi" w:hAnsiTheme="majorHAnsi" w:cstheme="majorHAnsi"/>
        </w:rPr>
        <w:t>ym</w:t>
      </w:r>
      <w:r w:rsidRPr="0030568C">
        <w:rPr>
          <w:rFonts w:asciiTheme="majorHAnsi" w:hAnsiTheme="majorHAnsi" w:cstheme="majorHAnsi"/>
        </w:rPr>
        <w:t xml:space="preserve"> </w:t>
      </w:r>
      <w:r w:rsidR="003F4C55">
        <w:rPr>
          <w:rFonts w:asciiTheme="majorHAnsi" w:hAnsiTheme="majorHAnsi" w:cstheme="majorHAnsi"/>
        </w:rPr>
        <w:t>Komunikacie</w:t>
      </w:r>
      <w:r w:rsidRPr="0030568C">
        <w:rPr>
          <w:rFonts w:asciiTheme="majorHAnsi" w:hAnsiTheme="majorHAnsi" w:cstheme="majorHAnsi"/>
        </w:rPr>
        <w:t>.</w:t>
      </w:r>
    </w:p>
    <w:p w14:paraId="09A5E233" w14:textId="4D45DB4C" w:rsidR="0030568C" w:rsidRPr="0030568C" w:rsidRDefault="0030568C" w:rsidP="0030568C">
      <w:pPr>
        <w:suppressAutoHyphens/>
        <w:spacing w:line="240" w:lineRule="auto"/>
        <w:jc w:val="both"/>
        <w:rPr>
          <w:rFonts w:asciiTheme="majorHAnsi" w:hAnsiTheme="majorHAnsi" w:cstheme="majorHAnsi"/>
        </w:rPr>
      </w:pPr>
      <w:r w:rsidRPr="0030568C">
        <w:rPr>
          <w:rFonts w:asciiTheme="majorHAnsi" w:hAnsiTheme="majorHAnsi" w:cstheme="majorHAnsi"/>
        </w:rPr>
        <w:t>Informacje zamieszczone w niniejsz</w:t>
      </w:r>
      <w:r w:rsidR="003F4C55">
        <w:rPr>
          <w:rFonts w:asciiTheme="majorHAnsi" w:hAnsiTheme="majorHAnsi" w:cstheme="majorHAnsi"/>
        </w:rPr>
        <w:t>ym</w:t>
      </w:r>
      <w:r w:rsidRPr="0030568C">
        <w:rPr>
          <w:rFonts w:asciiTheme="majorHAnsi" w:hAnsiTheme="majorHAnsi" w:cstheme="majorHAnsi"/>
        </w:rPr>
        <w:t xml:space="preserve"> </w:t>
      </w:r>
      <w:r w:rsidR="003F4C55">
        <w:rPr>
          <w:rFonts w:asciiTheme="majorHAnsi" w:hAnsiTheme="majorHAnsi" w:cstheme="majorHAnsi"/>
        </w:rPr>
        <w:t>Komunikacie</w:t>
      </w:r>
      <w:r w:rsidRPr="0030568C">
        <w:rPr>
          <w:rFonts w:asciiTheme="majorHAnsi" w:hAnsiTheme="majorHAnsi" w:cstheme="majorHAnsi"/>
        </w:rPr>
        <w:t xml:space="preserve"> mogą stanowić stwierdzenia dotyczące przyszłości, co oznacza wszelkie inne stwierdzenia niż te dotyczące faktów historycznych. Stwierdzenia, w których pojawiają się wyrażenia takie jak „może”, „ma na celu”, „mogą”, „będą”, „planuje”, „przewiduje”, „dąży”, „szacuje”, „zakłada”, „zamierza”, „prognozuje”, „ma na celu”, „zamiar”, ich zaprzeczenia, wszelkie formy gramatyczne lub inne podobne wyrażenia wskazują na stwierdzenia dotyczące przyszłości. Stwierdzenia takie mogą obejmować stwierdzenia dotyczące sytuacji finansowej, strategii biznesowej, planów i przyszłych celów działalności Grupy (w tym planów rozwojowych Grupy). Wszystkie stwierdzenia dotyczące przyszłości zawarte w niniejsz</w:t>
      </w:r>
      <w:r w:rsidR="003F4C55">
        <w:rPr>
          <w:rFonts w:asciiTheme="majorHAnsi" w:hAnsiTheme="majorHAnsi" w:cstheme="majorHAnsi"/>
        </w:rPr>
        <w:t>ym</w:t>
      </w:r>
      <w:r w:rsidRPr="0030568C">
        <w:rPr>
          <w:rFonts w:asciiTheme="majorHAnsi" w:hAnsiTheme="majorHAnsi" w:cstheme="majorHAnsi"/>
        </w:rPr>
        <w:t xml:space="preserve"> </w:t>
      </w:r>
      <w:r w:rsidR="003F4C55">
        <w:rPr>
          <w:rFonts w:asciiTheme="majorHAnsi" w:hAnsiTheme="majorHAnsi" w:cstheme="majorHAnsi"/>
        </w:rPr>
        <w:t>Komunikacie</w:t>
      </w:r>
      <w:r w:rsidRPr="0030568C">
        <w:rPr>
          <w:rFonts w:asciiTheme="majorHAnsi" w:hAnsiTheme="majorHAnsi" w:cstheme="majorHAnsi"/>
        </w:rPr>
        <w:t xml:space="preserve"> odnoszą się do znanych i nieznanych kwestii obarczonych ryzykiem i niepewnością lub innych ważnych czynników, które mogą spowodować, że faktyczne wyniki Grupy, jej osiągnięcia i rozwój będą się istotnie różniły od wyników, osiągnięć i rozwoju przewidywanych w tych stwierdzeniach lub z nich wynikających, jak również od historycznych wyników i osiągnięć Grupy. Stwierdzenia dotyczące przyszłości opierają się na różnego rodzaju założeniach co do przyszłych zdarzeń, w tym licznych założeniach dotyczących przyszłych i obecnych strategii biznesowych i otoczenia operacyjnego Grupy. Pomimo tego, że w ocenie Spółki, takie założenia są zasadne, mogą się one okazać nieprawidłowe. Spółka oraz jej przedstawiciele, pracownicy lub doradcy nie zamierzają i wyraźnie zastrzegają, że nie mają obowiązku przekazywać do publicznej wiadomości aktualizacji lub weryfikacji informacji, opinii lub stwierdzeń dotyczących przyszłości zamieszczonych w niniejsz</w:t>
      </w:r>
      <w:r w:rsidR="003F4C55">
        <w:rPr>
          <w:rFonts w:asciiTheme="majorHAnsi" w:hAnsiTheme="majorHAnsi" w:cstheme="majorHAnsi"/>
        </w:rPr>
        <w:t>ym</w:t>
      </w:r>
      <w:r w:rsidRPr="0030568C">
        <w:rPr>
          <w:rFonts w:asciiTheme="majorHAnsi" w:hAnsiTheme="majorHAnsi" w:cstheme="majorHAnsi"/>
        </w:rPr>
        <w:t xml:space="preserve"> </w:t>
      </w:r>
      <w:r w:rsidR="003F4C55">
        <w:rPr>
          <w:rFonts w:asciiTheme="majorHAnsi" w:hAnsiTheme="majorHAnsi" w:cstheme="majorHAnsi"/>
        </w:rPr>
        <w:t>Komunikacie</w:t>
      </w:r>
      <w:r w:rsidRPr="0030568C">
        <w:rPr>
          <w:rFonts w:asciiTheme="majorHAnsi" w:hAnsiTheme="majorHAnsi" w:cstheme="majorHAnsi"/>
        </w:rPr>
        <w:t xml:space="preserve"> w związku z pojawieniem się nowych informacji, wystąpieniem przyszłych zdarzeń lub innymi okolicznościami.</w:t>
      </w:r>
    </w:p>
    <w:p w14:paraId="3BE373E0" w14:textId="1A40D5F9" w:rsidR="0030568C" w:rsidRPr="0030568C" w:rsidRDefault="0030568C" w:rsidP="0030568C">
      <w:pPr>
        <w:suppressAutoHyphens/>
        <w:spacing w:line="240" w:lineRule="auto"/>
        <w:jc w:val="both"/>
        <w:rPr>
          <w:rFonts w:asciiTheme="majorHAnsi" w:hAnsiTheme="majorHAnsi" w:cstheme="majorHAnsi"/>
        </w:rPr>
      </w:pPr>
      <w:r w:rsidRPr="0030568C">
        <w:rPr>
          <w:rFonts w:asciiTheme="majorHAnsi" w:hAnsiTheme="majorHAnsi" w:cstheme="majorHAnsi"/>
        </w:rPr>
        <w:t>Niniejsz</w:t>
      </w:r>
      <w:r w:rsidR="003F4C55">
        <w:rPr>
          <w:rFonts w:asciiTheme="majorHAnsi" w:hAnsiTheme="majorHAnsi" w:cstheme="majorHAnsi"/>
        </w:rPr>
        <w:t>y Komunikat</w:t>
      </w:r>
      <w:r w:rsidRPr="0030568C">
        <w:rPr>
          <w:rFonts w:asciiTheme="majorHAnsi" w:hAnsiTheme="majorHAnsi" w:cstheme="majorHAnsi"/>
        </w:rPr>
        <w:t xml:space="preserve"> ani wszelkie materiały dystrybuowane w związku z </w:t>
      </w:r>
      <w:r w:rsidR="003F4C55">
        <w:rPr>
          <w:rFonts w:asciiTheme="majorHAnsi" w:hAnsiTheme="majorHAnsi" w:cstheme="majorHAnsi"/>
        </w:rPr>
        <w:t>Komunikatem</w:t>
      </w:r>
      <w:r w:rsidRPr="0030568C">
        <w:rPr>
          <w:rFonts w:asciiTheme="majorHAnsi" w:hAnsiTheme="majorHAnsi" w:cstheme="majorHAnsi"/>
        </w:rPr>
        <w:t xml:space="preserve"> nie są przeznaczone dla ani na potrzeby dystrybucji do lub wykorzystania przez żaden podmiot będący obywatelem lub rezydentem lub znajdujący się w stanie, kraju lub innej jurysdykcji, w której taka dystrybucja, publikacja, dostępność lub wykorzystanie byłoby sprzeczne z prawem lub innymi mającymi zastosowanie regulacjami lub wymagałoby autoryzacji, rejestracji, notyfikacji lub uzyskania licencji. Osoby, które znajdą się w posiadaniu dokumentów lub innych informacji, o których mowa w niniejs</w:t>
      </w:r>
      <w:r w:rsidR="003F4C55">
        <w:rPr>
          <w:rFonts w:asciiTheme="majorHAnsi" w:hAnsiTheme="majorHAnsi" w:cstheme="majorHAnsi"/>
        </w:rPr>
        <w:t>zym</w:t>
      </w:r>
      <w:r w:rsidRPr="0030568C">
        <w:rPr>
          <w:rFonts w:asciiTheme="majorHAnsi" w:hAnsiTheme="majorHAnsi" w:cstheme="majorHAnsi"/>
        </w:rPr>
        <w:t xml:space="preserve"> </w:t>
      </w:r>
      <w:r w:rsidR="003F4C55">
        <w:rPr>
          <w:rFonts w:asciiTheme="majorHAnsi" w:hAnsiTheme="majorHAnsi" w:cstheme="majorHAnsi"/>
        </w:rPr>
        <w:t>Komunikacie</w:t>
      </w:r>
      <w:r w:rsidRPr="0030568C">
        <w:rPr>
          <w:rFonts w:asciiTheme="majorHAnsi" w:hAnsiTheme="majorHAnsi" w:cstheme="majorHAnsi"/>
        </w:rPr>
        <w:t xml:space="preserve"> powinny we własnym zakresie uzyskać informację o istnieniu takich ograniczeń oraz przestrzegać ich.</w:t>
      </w:r>
    </w:p>
    <w:p w14:paraId="1FE13ECE" w14:textId="6F5769CF" w:rsidR="0030568C" w:rsidRPr="0030568C" w:rsidRDefault="0030568C" w:rsidP="0030568C">
      <w:pPr>
        <w:suppressAutoHyphens/>
        <w:spacing w:line="240" w:lineRule="auto"/>
        <w:jc w:val="both"/>
        <w:rPr>
          <w:rFonts w:asciiTheme="majorHAnsi" w:hAnsiTheme="majorHAnsi" w:cstheme="majorHAnsi"/>
        </w:rPr>
      </w:pPr>
      <w:r w:rsidRPr="0030568C">
        <w:rPr>
          <w:rFonts w:asciiTheme="majorHAnsi" w:hAnsiTheme="majorHAnsi" w:cstheme="majorHAnsi"/>
        </w:rPr>
        <w:t>Niniejsz</w:t>
      </w:r>
      <w:r w:rsidR="003F4C55">
        <w:rPr>
          <w:rFonts w:asciiTheme="majorHAnsi" w:hAnsiTheme="majorHAnsi" w:cstheme="majorHAnsi"/>
        </w:rPr>
        <w:t>y</w:t>
      </w:r>
      <w:r w:rsidRPr="0030568C">
        <w:rPr>
          <w:rFonts w:asciiTheme="majorHAnsi" w:hAnsiTheme="majorHAnsi" w:cstheme="majorHAnsi"/>
        </w:rPr>
        <w:t xml:space="preserve"> </w:t>
      </w:r>
      <w:r w:rsidR="003F4C55">
        <w:rPr>
          <w:rFonts w:asciiTheme="majorHAnsi" w:hAnsiTheme="majorHAnsi" w:cstheme="majorHAnsi"/>
        </w:rPr>
        <w:t>Komunikat</w:t>
      </w:r>
      <w:r w:rsidRPr="0030568C">
        <w:rPr>
          <w:rFonts w:asciiTheme="majorHAnsi" w:hAnsiTheme="majorHAnsi" w:cstheme="majorHAnsi"/>
        </w:rPr>
        <w:t xml:space="preserve"> nie stanowi oferty sprzedaży ani zaproszenia do składania oferty zakupu papierów wartościowych na terytorium Stanów Zjednoczonych Ameryki. Papiery wartościowe Spółki nie zostały i nie zostaną zarejestrowane zgodnie z amerykańską ustawą o papierach wartościowych z 1933 r. ze zmianami (</w:t>
      </w:r>
      <w:r w:rsidRPr="0030568C">
        <w:rPr>
          <w:rFonts w:asciiTheme="majorHAnsi" w:hAnsiTheme="majorHAnsi" w:cstheme="majorHAnsi"/>
          <w:i/>
          <w:iCs/>
        </w:rPr>
        <w:t xml:space="preserve">U.S. Securities </w:t>
      </w:r>
      <w:proofErr w:type="spellStart"/>
      <w:r w:rsidRPr="0030568C">
        <w:rPr>
          <w:rFonts w:asciiTheme="majorHAnsi" w:hAnsiTheme="majorHAnsi" w:cstheme="majorHAnsi"/>
          <w:i/>
          <w:iCs/>
        </w:rPr>
        <w:t>Act</w:t>
      </w:r>
      <w:proofErr w:type="spellEnd"/>
      <w:r w:rsidRPr="0030568C">
        <w:rPr>
          <w:rFonts w:asciiTheme="majorHAnsi" w:hAnsiTheme="majorHAnsi" w:cstheme="majorHAnsi"/>
          <w:i/>
          <w:iCs/>
        </w:rPr>
        <w:t xml:space="preserve"> of 1933, as </w:t>
      </w:r>
      <w:proofErr w:type="spellStart"/>
      <w:r w:rsidRPr="0030568C">
        <w:rPr>
          <w:rFonts w:asciiTheme="majorHAnsi" w:hAnsiTheme="majorHAnsi" w:cstheme="majorHAnsi"/>
          <w:i/>
          <w:iCs/>
        </w:rPr>
        <w:t>amended</w:t>
      </w:r>
      <w:proofErr w:type="spellEnd"/>
      <w:r w:rsidRPr="0030568C">
        <w:rPr>
          <w:rFonts w:asciiTheme="majorHAnsi" w:hAnsiTheme="majorHAnsi" w:cstheme="majorHAnsi"/>
        </w:rPr>
        <w:t>; „</w:t>
      </w:r>
      <w:r w:rsidRPr="0030568C">
        <w:rPr>
          <w:rFonts w:asciiTheme="majorHAnsi" w:hAnsiTheme="majorHAnsi" w:cstheme="majorHAnsi"/>
          <w:b/>
          <w:bCs/>
        </w:rPr>
        <w:t>Amerykańska Ustawa o Papierach Wartościowych</w:t>
      </w:r>
      <w:r w:rsidRPr="0030568C">
        <w:rPr>
          <w:rFonts w:asciiTheme="majorHAnsi" w:hAnsiTheme="majorHAnsi" w:cstheme="majorHAnsi"/>
        </w:rPr>
        <w:t>”) ani przez żaden inny organ nadzoru nad rynkami kapitałowymi w żadnym stanie lub jurysdykcji w Stanach Zjednoczonych Ameryki i, z pewnymi wyjątkami, nie mogą być oferowane ani sprzedawane w Stanach Zjednoczonych Ameryki, chyba że zostaną zarejestrowane zgodnie z Amerykańską Ustawą o Papierach Wartościowych i odpowiednim prawem stanowym na podstawie wyjątku od obowiązku rejestracyjnego.</w:t>
      </w:r>
    </w:p>
    <w:p w14:paraId="31FD2FB3" w14:textId="77777777" w:rsidR="0030568C" w:rsidRPr="0030568C" w:rsidRDefault="0030568C" w:rsidP="0030568C">
      <w:pPr>
        <w:suppressAutoHyphens/>
        <w:spacing w:line="240" w:lineRule="auto"/>
        <w:jc w:val="both"/>
        <w:rPr>
          <w:rFonts w:asciiTheme="majorHAnsi" w:hAnsiTheme="majorHAnsi" w:cstheme="majorHAnsi"/>
        </w:rPr>
      </w:pPr>
    </w:p>
    <w:sectPr w:rsidR="0030568C" w:rsidRPr="0030568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2656" w14:textId="77777777" w:rsidR="001610B5" w:rsidRDefault="001610B5" w:rsidP="0030568C">
      <w:pPr>
        <w:spacing w:after="0" w:line="240" w:lineRule="auto"/>
      </w:pPr>
      <w:r>
        <w:separator/>
      </w:r>
    </w:p>
  </w:endnote>
  <w:endnote w:type="continuationSeparator" w:id="0">
    <w:p w14:paraId="223D4AA0" w14:textId="77777777" w:rsidR="001610B5" w:rsidRDefault="001610B5" w:rsidP="0030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oppins">
    <w:altName w:val="Calibri"/>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52A5" w14:textId="77777777" w:rsidR="001610B5" w:rsidRDefault="001610B5" w:rsidP="0030568C">
      <w:pPr>
        <w:spacing w:after="0" w:line="240" w:lineRule="auto"/>
      </w:pPr>
      <w:r>
        <w:separator/>
      </w:r>
    </w:p>
  </w:footnote>
  <w:footnote w:type="continuationSeparator" w:id="0">
    <w:p w14:paraId="4CF6AE3A" w14:textId="77777777" w:rsidR="001610B5" w:rsidRDefault="001610B5" w:rsidP="00305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2B06" w14:textId="23B4B03A" w:rsidR="0030568C" w:rsidRPr="0030568C" w:rsidRDefault="0030568C" w:rsidP="0030568C">
    <w:pPr>
      <w:spacing w:after="180" w:line="240" w:lineRule="auto"/>
      <w:jc w:val="both"/>
      <w:rPr>
        <w:rFonts w:asciiTheme="majorHAnsi" w:hAnsiTheme="majorHAnsi" w:cstheme="majorHAnsi"/>
      </w:rPr>
    </w:pPr>
    <w:r w:rsidRPr="0030568C">
      <w:rPr>
        <w:rFonts w:asciiTheme="majorHAnsi" w:hAnsiTheme="majorHAnsi" w:cstheme="majorHAnsi"/>
      </w:rPr>
      <w:t xml:space="preserve">NINIEJSZY </w:t>
    </w:r>
    <w:r w:rsidRPr="0030568C">
      <w:rPr>
        <w:rFonts w:asciiTheme="majorHAnsi" w:hAnsiTheme="majorHAnsi" w:cstheme="majorHAnsi"/>
      </w:rPr>
      <w:t>KOMUNIKAT PRASOWY</w:t>
    </w:r>
    <w:r w:rsidRPr="0030568C">
      <w:rPr>
        <w:rFonts w:asciiTheme="majorHAnsi" w:hAnsiTheme="majorHAnsi" w:cstheme="majorHAnsi"/>
      </w:rPr>
      <w:t xml:space="preserve"> I ZAWARTE W NIM INFORMACJE PODLEGAJĄ OGRANICZENIOM I NIE SĄ PRZEZNACZONE DO PUBLIKACJI, OGŁOSZENIA, DYSTRYBUCJI LUB PRZESŁANIA, BEZPOŚREDNIO ANI POŚREDNIO, W CAŁOŚCI ANI W JAKIEJKOLWIEK CZĘŚCI, NA TERYTORIUM STANÓW ZJEDNOCZONYCH AMERYKI, AUSTRALII, KANADY, REPUBLIKI POŁUDNIOWEJ AFRYKI, JAPONII ANI INNYCH KRAJÓW, GDZIE PUBLIKACJA, OGŁOSZENIE, DYSTRYBUCJA LUB PRZESŁANIE BYŁOBY NIEZGODNE Z PRAWEM. PONADTO</w:t>
    </w:r>
    <w:r w:rsidRPr="0030568C">
      <w:rPr>
        <w:rFonts w:asciiTheme="majorHAnsi" w:hAnsiTheme="majorHAnsi" w:cstheme="majorHAnsi"/>
      </w:rPr>
      <w:t xml:space="preserve"> </w:t>
    </w:r>
    <w:r w:rsidRPr="0030568C">
      <w:rPr>
        <w:rFonts w:asciiTheme="majorHAnsi" w:hAnsiTheme="majorHAnsi" w:cstheme="majorHAnsi"/>
      </w:rPr>
      <w:t xml:space="preserve">NINIEJSZY </w:t>
    </w:r>
    <w:r w:rsidRPr="0030568C">
      <w:rPr>
        <w:rFonts w:asciiTheme="majorHAnsi" w:hAnsiTheme="majorHAnsi" w:cstheme="majorHAnsi"/>
      </w:rPr>
      <w:t>KOMUNIKAT PRASOWY</w:t>
    </w:r>
    <w:r w:rsidRPr="0030568C">
      <w:rPr>
        <w:rFonts w:asciiTheme="majorHAnsi" w:hAnsiTheme="majorHAnsi" w:cstheme="majorHAnsi"/>
      </w:rPr>
      <w:t xml:space="preserve"> SŁUŻY WYŁĄCZNIE CELOM INFORMACYJNYM I W ŻADNEJ JURYSDYKCJI NIE STANOWI OFERTY PAPIERÓW WARTOŚCIOWYCH. PROSIMY O ZAPOZNANIE SIĘ Z WAŻNYMI INFORMACJAMI ZAMIESZCZONYMI NA KOŃCU NINIEJSZEGO </w:t>
    </w:r>
    <w:r w:rsidRPr="0030568C">
      <w:rPr>
        <w:rFonts w:asciiTheme="majorHAnsi" w:hAnsiTheme="majorHAnsi" w:cstheme="majorHAnsi"/>
      </w:rPr>
      <w:t>KOMUNIKATU PRASOWEGO</w:t>
    </w:r>
    <w:r w:rsidRPr="0030568C">
      <w:rPr>
        <w:rFonts w:asciiTheme="majorHAnsi" w:hAnsiTheme="majorHAnsi" w:cstheme="majorHAnsi"/>
      </w:rPr>
      <w:t xml:space="preserve">. </w:t>
    </w:r>
  </w:p>
  <w:p w14:paraId="3CC938A6" w14:textId="0E8F1F69" w:rsidR="0030568C" w:rsidRDefault="0030568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7F"/>
    <w:rsid w:val="0007306F"/>
    <w:rsid w:val="00091D01"/>
    <w:rsid w:val="000964E6"/>
    <w:rsid w:val="000E7A42"/>
    <w:rsid w:val="000F7104"/>
    <w:rsid w:val="00107DE0"/>
    <w:rsid w:val="00146DDC"/>
    <w:rsid w:val="001610B5"/>
    <w:rsid w:val="00165DE1"/>
    <w:rsid w:val="00172F0A"/>
    <w:rsid w:val="00174736"/>
    <w:rsid w:val="00183A23"/>
    <w:rsid w:val="001A6F49"/>
    <w:rsid w:val="001C76AD"/>
    <w:rsid w:val="001E139A"/>
    <w:rsid w:val="00216048"/>
    <w:rsid w:val="002210D0"/>
    <w:rsid w:val="0025018B"/>
    <w:rsid w:val="00254108"/>
    <w:rsid w:val="00274B57"/>
    <w:rsid w:val="002763F7"/>
    <w:rsid w:val="002926D9"/>
    <w:rsid w:val="002A2DFC"/>
    <w:rsid w:val="002D27B2"/>
    <w:rsid w:val="002D58D8"/>
    <w:rsid w:val="002E0635"/>
    <w:rsid w:val="002E6C7F"/>
    <w:rsid w:val="0030568C"/>
    <w:rsid w:val="00306411"/>
    <w:rsid w:val="00334F1E"/>
    <w:rsid w:val="00340B6E"/>
    <w:rsid w:val="00363B72"/>
    <w:rsid w:val="00365E63"/>
    <w:rsid w:val="003B489F"/>
    <w:rsid w:val="003D76CC"/>
    <w:rsid w:val="003E156A"/>
    <w:rsid w:val="003E4E15"/>
    <w:rsid w:val="003E5B55"/>
    <w:rsid w:val="003F0FAB"/>
    <w:rsid w:val="003F4C55"/>
    <w:rsid w:val="00404050"/>
    <w:rsid w:val="00406098"/>
    <w:rsid w:val="00422EDD"/>
    <w:rsid w:val="00430F60"/>
    <w:rsid w:val="0043755A"/>
    <w:rsid w:val="00442CD1"/>
    <w:rsid w:val="00470299"/>
    <w:rsid w:val="00473ECA"/>
    <w:rsid w:val="00492353"/>
    <w:rsid w:val="004D0F3E"/>
    <w:rsid w:val="004F2D4A"/>
    <w:rsid w:val="00542721"/>
    <w:rsid w:val="005455E1"/>
    <w:rsid w:val="00547B81"/>
    <w:rsid w:val="00551A1D"/>
    <w:rsid w:val="0055278E"/>
    <w:rsid w:val="00567BE6"/>
    <w:rsid w:val="005957D8"/>
    <w:rsid w:val="0059774B"/>
    <w:rsid w:val="00625460"/>
    <w:rsid w:val="006413F9"/>
    <w:rsid w:val="00650343"/>
    <w:rsid w:val="006568BF"/>
    <w:rsid w:val="006640D2"/>
    <w:rsid w:val="006725EC"/>
    <w:rsid w:val="00692E00"/>
    <w:rsid w:val="006A24CA"/>
    <w:rsid w:val="006A6B5F"/>
    <w:rsid w:val="006B3105"/>
    <w:rsid w:val="006C11A9"/>
    <w:rsid w:val="006C4FC5"/>
    <w:rsid w:val="006F6BA3"/>
    <w:rsid w:val="00713B2B"/>
    <w:rsid w:val="007158EE"/>
    <w:rsid w:val="00726378"/>
    <w:rsid w:val="00732C9F"/>
    <w:rsid w:val="00747CF7"/>
    <w:rsid w:val="007548B3"/>
    <w:rsid w:val="00756B71"/>
    <w:rsid w:val="007625B5"/>
    <w:rsid w:val="00775263"/>
    <w:rsid w:val="00776275"/>
    <w:rsid w:val="00792993"/>
    <w:rsid w:val="007B10F8"/>
    <w:rsid w:val="007E51F0"/>
    <w:rsid w:val="007E6473"/>
    <w:rsid w:val="007F21C3"/>
    <w:rsid w:val="00801290"/>
    <w:rsid w:val="00801B9D"/>
    <w:rsid w:val="00803D82"/>
    <w:rsid w:val="0080615A"/>
    <w:rsid w:val="0081788F"/>
    <w:rsid w:val="00841B21"/>
    <w:rsid w:val="0085535E"/>
    <w:rsid w:val="008565A4"/>
    <w:rsid w:val="00862FEB"/>
    <w:rsid w:val="008720FE"/>
    <w:rsid w:val="008A34ED"/>
    <w:rsid w:val="008B6529"/>
    <w:rsid w:val="008C4935"/>
    <w:rsid w:val="008C4AA0"/>
    <w:rsid w:val="008D6321"/>
    <w:rsid w:val="008E030B"/>
    <w:rsid w:val="008E54EF"/>
    <w:rsid w:val="008F7EC7"/>
    <w:rsid w:val="009010A9"/>
    <w:rsid w:val="00903DB4"/>
    <w:rsid w:val="009166AC"/>
    <w:rsid w:val="009231C5"/>
    <w:rsid w:val="0092550B"/>
    <w:rsid w:val="009354A5"/>
    <w:rsid w:val="009411FB"/>
    <w:rsid w:val="00976050"/>
    <w:rsid w:val="009876A4"/>
    <w:rsid w:val="00992260"/>
    <w:rsid w:val="009A14C7"/>
    <w:rsid w:val="009E348F"/>
    <w:rsid w:val="009F1ED2"/>
    <w:rsid w:val="00A010BB"/>
    <w:rsid w:val="00A0145E"/>
    <w:rsid w:val="00A130FE"/>
    <w:rsid w:val="00A2037F"/>
    <w:rsid w:val="00A27554"/>
    <w:rsid w:val="00A55E6E"/>
    <w:rsid w:val="00A703B1"/>
    <w:rsid w:val="00A70C6E"/>
    <w:rsid w:val="00A73BF3"/>
    <w:rsid w:val="00A81724"/>
    <w:rsid w:val="00AB191F"/>
    <w:rsid w:val="00AB4741"/>
    <w:rsid w:val="00AF2664"/>
    <w:rsid w:val="00AF4389"/>
    <w:rsid w:val="00B0663E"/>
    <w:rsid w:val="00B066BC"/>
    <w:rsid w:val="00B226AF"/>
    <w:rsid w:val="00B25745"/>
    <w:rsid w:val="00B26C09"/>
    <w:rsid w:val="00B3067B"/>
    <w:rsid w:val="00B378CF"/>
    <w:rsid w:val="00B43BA4"/>
    <w:rsid w:val="00B63C88"/>
    <w:rsid w:val="00B71928"/>
    <w:rsid w:val="00B74BF1"/>
    <w:rsid w:val="00B77D8D"/>
    <w:rsid w:val="00B8330B"/>
    <w:rsid w:val="00BD3E25"/>
    <w:rsid w:val="00BD5D8E"/>
    <w:rsid w:val="00BE627A"/>
    <w:rsid w:val="00C055E8"/>
    <w:rsid w:val="00C36ED7"/>
    <w:rsid w:val="00C379CC"/>
    <w:rsid w:val="00C40329"/>
    <w:rsid w:val="00C408B3"/>
    <w:rsid w:val="00C46E94"/>
    <w:rsid w:val="00C5441A"/>
    <w:rsid w:val="00C75815"/>
    <w:rsid w:val="00C91514"/>
    <w:rsid w:val="00CD55D4"/>
    <w:rsid w:val="00CE0237"/>
    <w:rsid w:val="00CF3E59"/>
    <w:rsid w:val="00D10309"/>
    <w:rsid w:val="00D1422C"/>
    <w:rsid w:val="00D25586"/>
    <w:rsid w:val="00D35520"/>
    <w:rsid w:val="00D3602C"/>
    <w:rsid w:val="00D63B7E"/>
    <w:rsid w:val="00D66599"/>
    <w:rsid w:val="00DA05CD"/>
    <w:rsid w:val="00DA1EDF"/>
    <w:rsid w:val="00DA5FA7"/>
    <w:rsid w:val="00DB0074"/>
    <w:rsid w:val="00DE2E58"/>
    <w:rsid w:val="00E15B4E"/>
    <w:rsid w:val="00E22A2E"/>
    <w:rsid w:val="00E37976"/>
    <w:rsid w:val="00E65B75"/>
    <w:rsid w:val="00E76B05"/>
    <w:rsid w:val="00E96E87"/>
    <w:rsid w:val="00EA36FC"/>
    <w:rsid w:val="00EC31CC"/>
    <w:rsid w:val="00EE15CD"/>
    <w:rsid w:val="00EE36C5"/>
    <w:rsid w:val="00EF0C25"/>
    <w:rsid w:val="00F14513"/>
    <w:rsid w:val="00F1499B"/>
    <w:rsid w:val="00F16948"/>
    <w:rsid w:val="00F35315"/>
    <w:rsid w:val="00F43988"/>
    <w:rsid w:val="00F526B8"/>
    <w:rsid w:val="00F717C1"/>
    <w:rsid w:val="00F915BA"/>
    <w:rsid w:val="00F94F75"/>
    <w:rsid w:val="00FA66F1"/>
    <w:rsid w:val="00FE02C8"/>
    <w:rsid w:val="00FE0F75"/>
    <w:rsid w:val="00FE2059"/>
    <w:rsid w:val="00FF0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0E935"/>
  <w15:chartTrackingRefBased/>
  <w15:docId w15:val="{945AE1F9-FE66-4308-8868-D1AA601A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037F"/>
    <w:pPr>
      <w:spacing w:line="300" w:lineRule="auto"/>
    </w:pPr>
    <w:rPr>
      <w:rFonts w:eastAsiaTheme="minorEastAsia"/>
      <w:sz w:val="21"/>
      <w:szCs w:val="21"/>
    </w:rPr>
  </w:style>
  <w:style w:type="paragraph" w:styleId="Nagwek4">
    <w:name w:val="heading 4"/>
    <w:basedOn w:val="Normalny"/>
    <w:link w:val="Nagwek4Znak"/>
    <w:uiPriority w:val="9"/>
    <w:qFormat/>
    <w:rsid w:val="00C408B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2037F"/>
    <w:rPr>
      <w:color w:val="000080"/>
      <w:u w:val="single"/>
    </w:rPr>
  </w:style>
  <w:style w:type="paragraph" w:styleId="Bezodstpw">
    <w:name w:val="No Spacing"/>
    <w:uiPriority w:val="1"/>
    <w:qFormat/>
    <w:rsid w:val="00A2037F"/>
    <w:pPr>
      <w:spacing w:after="0" w:line="240" w:lineRule="auto"/>
    </w:pPr>
    <w:rPr>
      <w:rFonts w:eastAsiaTheme="minorEastAsia"/>
      <w:sz w:val="21"/>
      <w:szCs w:val="21"/>
    </w:rPr>
  </w:style>
  <w:style w:type="character" w:styleId="Nierozpoznanawzmianka">
    <w:name w:val="Unresolved Mention"/>
    <w:basedOn w:val="Domylnaczcionkaakapitu"/>
    <w:uiPriority w:val="99"/>
    <w:semiHidden/>
    <w:unhideWhenUsed/>
    <w:rsid w:val="00DB0074"/>
    <w:rPr>
      <w:color w:val="605E5C"/>
      <w:shd w:val="clear" w:color="auto" w:fill="E1DFDD"/>
    </w:rPr>
  </w:style>
  <w:style w:type="character" w:customStyle="1" w:styleId="Nagwek4Znak">
    <w:name w:val="Nagłówek 4 Znak"/>
    <w:basedOn w:val="Domylnaczcionkaakapitu"/>
    <w:link w:val="Nagwek4"/>
    <w:uiPriority w:val="9"/>
    <w:rsid w:val="00C408B3"/>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C408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A55E6E"/>
    <w:rPr>
      <w:i/>
      <w:iCs/>
    </w:rPr>
  </w:style>
  <w:style w:type="character" w:styleId="Odwoaniedokomentarza">
    <w:name w:val="annotation reference"/>
    <w:basedOn w:val="Domylnaczcionkaakapitu"/>
    <w:uiPriority w:val="99"/>
    <w:semiHidden/>
    <w:unhideWhenUsed/>
    <w:rsid w:val="00E22A2E"/>
    <w:rPr>
      <w:sz w:val="16"/>
      <w:szCs w:val="16"/>
    </w:rPr>
  </w:style>
  <w:style w:type="paragraph" w:styleId="Tekstkomentarza">
    <w:name w:val="annotation text"/>
    <w:basedOn w:val="Normalny"/>
    <w:link w:val="TekstkomentarzaZnak"/>
    <w:uiPriority w:val="99"/>
    <w:unhideWhenUsed/>
    <w:rsid w:val="00E22A2E"/>
    <w:pPr>
      <w:spacing w:line="240" w:lineRule="auto"/>
    </w:pPr>
    <w:rPr>
      <w:sz w:val="20"/>
      <w:szCs w:val="20"/>
    </w:rPr>
  </w:style>
  <w:style w:type="character" w:customStyle="1" w:styleId="TekstkomentarzaZnak">
    <w:name w:val="Tekst komentarza Znak"/>
    <w:basedOn w:val="Domylnaczcionkaakapitu"/>
    <w:link w:val="Tekstkomentarza"/>
    <w:uiPriority w:val="99"/>
    <w:rsid w:val="00E22A2E"/>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E22A2E"/>
    <w:rPr>
      <w:b/>
      <w:bCs/>
    </w:rPr>
  </w:style>
  <w:style w:type="character" w:customStyle="1" w:styleId="TematkomentarzaZnak">
    <w:name w:val="Temat komentarza Znak"/>
    <w:basedOn w:val="TekstkomentarzaZnak"/>
    <w:link w:val="Tematkomentarza"/>
    <w:uiPriority w:val="99"/>
    <w:semiHidden/>
    <w:rsid w:val="00E22A2E"/>
    <w:rPr>
      <w:rFonts w:eastAsiaTheme="minorEastAsia"/>
      <w:b/>
      <w:bCs/>
      <w:sz w:val="20"/>
      <w:szCs w:val="20"/>
    </w:rPr>
  </w:style>
  <w:style w:type="paragraph" w:styleId="Nagwek">
    <w:name w:val="header"/>
    <w:basedOn w:val="Normalny"/>
    <w:link w:val="NagwekZnak"/>
    <w:uiPriority w:val="99"/>
    <w:unhideWhenUsed/>
    <w:rsid w:val="003056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568C"/>
    <w:rPr>
      <w:rFonts w:eastAsiaTheme="minorEastAsia"/>
      <w:sz w:val="21"/>
      <w:szCs w:val="21"/>
    </w:rPr>
  </w:style>
  <w:style w:type="paragraph" w:styleId="Stopka">
    <w:name w:val="footer"/>
    <w:basedOn w:val="Normalny"/>
    <w:link w:val="StopkaZnak"/>
    <w:uiPriority w:val="99"/>
    <w:unhideWhenUsed/>
    <w:rsid w:val="003056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568C"/>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174268783">
      <w:bodyDiv w:val="1"/>
      <w:marLeft w:val="0"/>
      <w:marRight w:val="0"/>
      <w:marTop w:val="0"/>
      <w:marBottom w:val="0"/>
      <w:divBdr>
        <w:top w:val="none" w:sz="0" w:space="0" w:color="auto"/>
        <w:left w:val="none" w:sz="0" w:space="0" w:color="auto"/>
        <w:bottom w:val="none" w:sz="0" w:space="0" w:color="auto"/>
        <w:right w:val="none" w:sz="0" w:space="0" w:color="auto"/>
      </w:divBdr>
    </w:div>
    <w:div w:id="175926128">
      <w:bodyDiv w:val="1"/>
      <w:marLeft w:val="0"/>
      <w:marRight w:val="0"/>
      <w:marTop w:val="0"/>
      <w:marBottom w:val="0"/>
      <w:divBdr>
        <w:top w:val="none" w:sz="0" w:space="0" w:color="auto"/>
        <w:left w:val="none" w:sz="0" w:space="0" w:color="auto"/>
        <w:bottom w:val="none" w:sz="0" w:space="0" w:color="auto"/>
        <w:right w:val="none" w:sz="0" w:space="0" w:color="auto"/>
      </w:divBdr>
    </w:div>
    <w:div w:id="289749793">
      <w:bodyDiv w:val="1"/>
      <w:marLeft w:val="0"/>
      <w:marRight w:val="0"/>
      <w:marTop w:val="0"/>
      <w:marBottom w:val="0"/>
      <w:divBdr>
        <w:top w:val="none" w:sz="0" w:space="0" w:color="auto"/>
        <w:left w:val="none" w:sz="0" w:space="0" w:color="auto"/>
        <w:bottom w:val="none" w:sz="0" w:space="0" w:color="auto"/>
        <w:right w:val="none" w:sz="0" w:space="0" w:color="auto"/>
      </w:divBdr>
      <w:divsChild>
        <w:div w:id="2114086849">
          <w:marLeft w:val="0"/>
          <w:marRight w:val="0"/>
          <w:marTop w:val="0"/>
          <w:marBottom w:val="150"/>
          <w:divBdr>
            <w:top w:val="none" w:sz="0" w:space="0" w:color="auto"/>
            <w:left w:val="none" w:sz="0" w:space="0" w:color="auto"/>
            <w:bottom w:val="none" w:sz="0" w:space="0" w:color="auto"/>
            <w:right w:val="none" w:sz="0" w:space="0" w:color="auto"/>
          </w:divBdr>
        </w:div>
        <w:div w:id="1803232462">
          <w:marLeft w:val="0"/>
          <w:marRight w:val="0"/>
          <w:marTop w:val="0"/>
          <w:marBottom w:val="150"/>
          <w:divBdr>
            <w:top w:val="none" w:sz="0" w:space="0" w:color="auto"/>
            <w:left w:val="none" w:sz="0" w:space="0" w:color="auto"/>
            <w:bottom w:val="none" w:sz="0" w:space="0" w:color="auto"/>
            <w:right w:val="none" w:sz="0" w:space="0" w:color="auto"/>
          </w:divBdr>
        </w:div>
      </w:divsChild>
    </w:div>
    <w:div w:id="387534350">
      <w:bodyDiv w:val="1"/>
      <w:marLeft w:val="0"/>
      <w:marRight w:val="0"/>
      <w:marTop w:val="0"/>
      <w:marBottom w:val="0"/>
      <w:divBdr>
        <w:top w:val="none" w:sz="0" w:space="0" w:color="auto"/>
        <w:left w:val="none" w:sz="0" w:space="0" w:color="auto"/>
        <w:bottom w:val="none" w:sz="0" w:space="0" w:color="auto"/>
        <w:right w:val="none" w:sz="0" w:space="0" w:color="auto"/>
      </w:divBdr>
    </w:div>
    <w:div w:id="543179999">
      <w:bodyDiv w:val="1"/>
      <w:marLeft w:val="0"/>
      <w:marRight w:val="0"/>
      <w:marTop w:val="0"/>
      <w:marBottom w:val="0"/>
      <w:divBdr>
        <w:top w:val="none" w:sz="0" w:space="0" w:color="auto"/>
        <w:left w:val="none" w:sz="0" w:space="0" w:color="auto"/>
        <w:bottom w:val="none" w:sz="0" w:space="0" w:color="auto"/>
        <w:right w:val="none" w:sz="0" w:space="0" w:color="auto"/>
      </w:divBdr>
    </w:div>
    <w:div w:id="718671636">
      <w:bodyDiv w:val="1"/>
      <w:marLeft w:val="0"/>
      <w:marRight w:val="0"/>
      <w:marTop w:val="0"/>
      <w:marBottom w:val="0"/>
      <w:divBdr>
        <w:top w:val="none" w:sz="0" w:space="0" w:color="auto"/>
        <w:left w:val="none" w:sz="0" w:space="0" w:color="auto"/>
        <w:bottom w:val="none" w:sz="0" w:space="0" w:color="auto"/>
        <w:right w:val="none" w:sz="0" w:space="0" w:color="auto"/>
      </w:divBdr>
    </w:div>
    <w:div w:id="809205265">
      <w:bodyDiv w:val="1"/>
      <w:marLeft w:val="0"/>
      <w:marRight w:val="0"/>
      <w:marTop w:val="0"/>
      <w:marBottom w:val="0"/>
      <w:divBdr>
        <w:top w:val="none" w:sz="0" w:space="0" w:color="auto"/>
        <w:left w:val="none" w:sz="0" w:space="0" w:color="auto"/>
        <w:bottom w:val="none" w:sz="0" w:space="0" w:color="auto"/>
        <w:right w:val="none" w:sz="0" w:space="0" w:color="auto"/>
      </w:divBdr>
    </w:div>
    <w:div w:id="872883832">
      <w:bodyDiv w:val="1"/>
      <w:marLeft w:val="0"/>
      <w:marRight w:val="0"/>
      <w:marTop w:val="0"/>
      <w:marBottom w:val="0"/>
      <w:divBdr>
        <w:top w:val="none" w:sz="0" w:space="0" w:color="auto"/>
        <w:left w:val="none" w:sz="0" w:space="0" w:color="auto"/>
        <w:bottom w:val="none" w:sz="0" w:space="0" w:color="auto"/>
        <w:right w:val="none" w:sz="0" w:space="0" w:color="auto"/>
      </w:divBdr>
    </w:div>
    <w:div w:id="1885871845">
      <w:bodyDiv w:val="1"/>
      <w:marLeft w:val="0"/>
      <w:marRight w:val="0"/>
      <w:marTop w:val="0"/>
      <w:marBottom w:val="0"/>
      <w:divBdr>
        <w:top w:val="none" w:sz="0" w:space="0" w:color="auto"/>
        <w:left w:val="none" w:sz="0" w:space="0" w:color="auto"/>
        <w:bottom w:val="none" w:sz="0" w:space="0" w:color="auto"/>
        <w:right w:val="none" w:sz="0" w:space="0" w:color="auto"/>
      </w:divBdr>
    </w:div>
    <w:div w:id="18902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al.pl" TargetMode="External"/><Relationship Id="rId3" Type="http://schemas.openxmlformats.org/officeDocument/2006/relationships/webSettings" Target="webSettings.xml"/><Relationship Id="rId7" Type="http://schemas.openxmlformats.org/officeDocument/2006/relationships/hyperlink" Target="http://www.atal.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1875</Words>
  <Characters>11250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Fabich</dc:creator>
  <cp:keywords/>
  <dc:description/>
  <cp:lastModifiedBy>Łukasz Borkowski</cp:lastModifiedBy>
  <cp:revision>14</cp:revision>
  <cp:lastPrinted>2023-01-02T13:06:00Z</cp:lastPrinted>
  <dcterms:created xsi:type="dcterms:W3CDTF">2023-03-22T16:14:00Z</dcterms:created>
  <dcterms:modified xsi:type="dcterms:W3CDTF">2023-07-18T11:24:00Z</dcterms:modified>
</cp:coreProperties>
</file>