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BB" w:rsidRDefault="00DA0212" w:rsidP="00B70EBB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Warszawa, 14 stycznia 2020</w:t>
      </w:r>
      <w:r w:rsidR="00B70EBB">
        <w:rPr>
          <w:rFonts w:ascii="Calibri" w:hAnsi="Calibri" w:cs="Calibri"/>
          <w:b/>
          <w:shd w:val="clear" w:color="auto" w:fill="FFFFFF"/>
        </w:rPr>
        <w:t xml:space="preserve"> roku</w:t>
      </w:r>
    </w:p>
    <w:p w:rsidR="00B70EBB" w:rsidRPr="00C30A61" w:rsidRDefault="00B70EBB" w:rsidP="00B70EBB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 w:rsidRPr="00C30A61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ATAL: </w:t>
      </w:r>
      <w:r w:rsidR="00DA0212">
        <w:rPr>
          <w:rFonts w:ascii="Calibri" w:hAnsi="Calibri" w:cs="Calibri"/>
          <w:b/>
          <w:sz w:val="40"/>
          <w:szCs w:val="40"/>
          <w:shd w:val="clear" w:color="auto" w:fill="FFFFFF"/>
        </w:rPr>
        <w:t>1769</w:t>
      </w:r>
      <w:r w:rsidR="00FE1335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przekazań w </w:t>
      </w:r>
      <w:r w:rsidRPr="00C30A61">
        <w:rPr>
          <w:rFonts w:ascii="Calibri" w:hAnsi="Calibri" w:cs="Calibri"/>
          <w:b/>
          <w:sz w:val="40"/>
          <w:szCs w:val="40"/>
          <w:shd w:val="clear" w:color="auto" w:fill="FFFFFF"/>
        </w:rPr>
        <w:t>201</w:t>
      </w:r>
      <w:r w:rsidR="00DA0212">
        <w:rPr>
          <w:rFonts w:ascii="Calibri" w:hAnsi="Calibri" w:cs="Calibri"/>
          <w:b/>
          <w:sz w:val="40"/>
          <w:szCs w:val="40"/>
          <w:shd w:val="clear" w:color="auto" w:fill="FFFFFF"/>
        </w:rPr>
        <w:t>9</w:t>
      </w:r>
      <w:r w:rsidR="00FE1335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roku</w:t>
      </w:r>
    </w:p>
    <w:p w:rsidR="00A53E37" w:rsidRDefault="00B70EBB" w:rsidP="00055829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</w:rPr>
      </w:pPr>
      <w:r w:rsidRPr="00A72DB5">
        <w:rPr>
          <w:rFonts w:ascii="Calibri" w:hAnsi="Calibri" w:cs="Calibri"/>
          <w:b/>
          <w:shd w:val="clear" w:color="auto" w:fill="FFFFFF"/>
        </w:rPr>
        <w:t xml:space="preserve">ATAL – ogólnopolski deweloper – </w:t>
      </w:r>
      <w:r w:rsidR="00FE1335" w:rsidRPr="00A72DB5">
        <w:rPr>
          <w:rFonts w:ascii="Calibri" w:hAnsi="Calibri" w:cs="Calibri"/>
          <w:b/>
          <w:shd w:val="clear" w:color="auto" w:fill="FFFFFF"/>
        </w:rPr>
        <w:t>w 201</w:t>
      </w:r>
      <w:r w:rsidR="00DA0212">
        <w:rPr>
          <w:rFonts w:ascii="Calibri" w:hAnsi="Calibri" w:cs="Calibri"/>
          <w:b/>
          <w:shd w:val="clear" w:color="auto" w:fill="FFFFFF"/>
        </w:rPr>
        <w:t>9</w:t>
      </w:r>
      <w:r w:rsidR="00FE1335" w:rsidRPr="00A72DB5">
        <w:rPr>
          <w:rFonts w:ascii="Calibri" w:hAnsi="Calibri" w:cs="Calibri"/>
          <w:b/>
          <w:shd w:val="clear" w:color="auto" w:fill="FFFFFF"/>
        </w:rPr>
        <w:t xml:space="preserve"> roku przekazał </w:t>
      </w:r>
      <w:r w:rsidR="00DA0212">
        <w:rPr>
          <w:rFonts w:ascii="Calibri" w:hAnsi="Calibri" w:cs="Calibri"/>
          <w:b/>
          <w:shd w:val="clear" w:color="auto" w:fill="FFFFFF"/>
        </w:rPr>
        <w:t>1769</w:t>
      </w:r>
      <w:r w:rsidR="00FE1335" w:rsidRPr="00A72DB5">
        <w:rPr>
          <w:rFonts w:ascii="Calibri" w:hAnsi="Calibri" w:cs="Calibri"/>
          <w:b/>
          <w:shd w:val="clear" w:color="auto" w:fill="FFFFFF"/>
        </w:rPr>
        <w:t xml:space="preserve"> lokali</w:t>
      </w:r>
      <w:r w:rsidR="00101A7E" w:rsidRPr="00A72DB5">
        <w:rPr>
          <w:rFonts w:ascii="Calibri" w:hAnsi="Calibri" w:cs="Calibri"/>
          <w:b/>
          <w:shd w:val="clear" w:color="auto" w:fill="FFFFFF"/>
        </w:rPr>
        <w:t xml:space="preserve"> mieszkalnych</w:t>
      </w:r>
      <w:r w:rsidR="00DA0212">
        <w:rPr>
          <w:rFonts w:ascii="Calibri" w:hAnsi="Calibri" w:cs="Calibri"/>
          <w:b/>
          <w:shd w:val="clear" w:color="auto" w:fill="FFFFFF"/>
        </w:rPr>
        <w:t>, inwestycyjnych</w:t>
      </w:r>
      <w:r w:rsidR="00101A7E" w:rsidRPr="00A72DB5">
        <w:rPr>
          <w:rFonts w:ascii="Calibri" w:hAnsi="Calibri" w:cs="Calibri"/>
          <w:b/>
          <w:shd w:val="clear" w:color="auto" w:fill="FFFFFF"/>
        </w:rPr>
        <w:t xml:space="preserve"> i usługowych</w:t>
      </w:r>
      <w:r w:rsidR="00DA0212">
        <w:rPr>
          <w:rFonts w:ascii="Calibri" w:hAnsi="Calibri" w:cs="Calibri"/>
          <w:b/>
        </w:rPr>
        <w:t>. Kolejne 500 lokali</w:t>
      </w:r>
      <w:r w:rsidR="00C778E7">
        <w:rPr>
          <w:rFonts w:ascii="Calibri" w:hAnsi="Calibri" w:cs="Calibri"/>
          <w:b/>
        </w:rPr>
        <w:t>, które zostały ukończone</w:t>
      </w:r>
      <w:r w:rsidR="00A53E37">
        <w:rPr>
          <w:rFonts w:ascii="Calibri" w:hAnsi="Calibri" w:cs="Calibri"/>
          <w:b/>
        </w:rPr>
        <w:t xml:space="preserve"> </w:t>
      </w:r>
      <w:r w:rsidR="00C778E7">
        <w:rPr>
          <w:rFonts w:ascii="Calibri" w:hAnsi="Calibri" w:cs="Calibri"/>
          <w:b/>
        </w:rPr>
        <w:t>oraz uzyskały pozwolenie na użytkowanie w ubiegłym roku,</w:t>
      </w:r>
      <w:r w:rsidR="00A53E37">
        <w:rPr>
          <w:rFonts w:ascii="Calibri" w:hAnsi="Calibri" w:cs="Calibri"/>
          <w:b/>
        </w:rPr>
        <w:t xml:space="preserve"> będzie </w:t>
      </w:r>
      <w:r w:rsidR="00C778E7">
        <w:rPr>
          <w:rFonts w:ascii="Calibri" w:hAnsi="Calibri" w:cs="Calibri"/>
          <w:b/>
        </w:rPr>
        <w:t>przekazanych</w:t>
      </w:r>
      <w:r w:rsidR="00DA0212">
        <w:rPr>
          <w:rFonts w:ascii="Calibri" w:hAnsi="Calibri" w:cs="Calibri"/>
          <w:b/>
        </w:rPr>
        <w:t xml:space="preserve"> nabywcom w 2020 roku. </w:t>
      </w:r>
    </w:p>
    <w:p w:rsidR="00DA0212" w:rsidRDefault="00DA0212" w:rsidP="00DA0212">
      <w:pPr>
        <w:pStyle w:val="NormalnyWeb"/>
        <w:spacing w:before="240" w:after="120" w:line="276" w:lineRule="auto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i/>
          <w:color w:val="000000"/>
          <w:shd w:val="clear" w:color="auto" w:fill="FFFFFF"/>
        </w:rPr>
        <w:t>Zeszłoroczny harmonogram budów zakładał najwięcej wydań w IV kwartale</w:t>
      </w:r>
      <w:r w:rsidR="00C778E7">
        <w:rPr>
          <w:rFonts w:ascii="Calibri" w:hAnsi="Calibri" w:cs="Calibri"/>
          <w:i/>
          <w:color w:val="000000"/>
          <w:shd w:val="clear" w:color="auto" w:fill="FFFFFF"/>
        </w:rPr>
        <w:t xml:space="preserve"> 2019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, w którym przekazano </w:t>
      </w:r>
      <w:r w:rsidR="00A53E37">
        <w:rPr>
          <w:rFonts w:ascii="Calibri" w:hAnsi="Calibri" w:cs="Calibri"/>
          <w:i/>
          <w:color w:val="000000"/>
          <w:shd w:val="clear" w:color="auto" w:fill="FFFFFF"/>
        </w:rPr>
        <w:t xml:space="preserve">łącznie 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671 lokali mieszkalnych, inwestycyjnych oraz usługowych. Ze względu na przedłużające się procedury administracyjne część pozwoleń na </w:t>
      </w:r>
      <w:r w:rsidR="00A53E37">
        <w:rPr>
          <w:rFonts w:ascii="Calibri" w:hAnsi="Calibri" w:cs="Calibri"/>
          <w:i/>
          <w:color w:val="000000"/>
          <w:shd w:val="clear" w:color="auto" w:fill="FFFFFF"/>
        </w:rPr>
        <w:t>użytkowanie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 został</w:t>
      </w:r>
      <w:r w:rsidR="00A53E37">
        <w:rPr>
          <w:rFonts w:ascii="Calibri" w:hAnsi="Calibri" w:cs="Calibri"/>
          <w:i/>
          <w:color w:val="000000"/>
          <w:shd w:val="clear" w:color="auto" w:fill="FFFFFF"/>
        </w:rPr>
        <w:t>o wydanych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 na przełomie roku. W związku z tym 500 lokali </w:t>
      </w:r>
      <w:r w:rsidR="00A53E37">
        <w:rPr>
          <w:rFonts w:ascii="Calibri" w:hAnsi="Calibri" w:cs="Calibri"/>
          <w:i/>
          <w:color w:val="000000"/>
          <w:shd w:val="clear" w:color="auto" w:fill="FFFFFF"/>
        </w:rPr>
        <w:t xml:space="preserve">ukończonych w zeszłym roku będzie </w:t>
      </w:r>
      <w:r w:rsidR="00C778E7">
        <w:rPr>
          <w:rFonts w:ascii="Calibri" w:hAnsi="Calibri" w:cs="Calibri"/>
          <w:i/>
          <w:color w:val="000000"/>
          <w:shd w:val="clear" w:color="auto" w:fill="FFFFFF"/>
        </w:rPr>
        <w:t>przekazanych</w:t>
      </w:r>
      <w:r w:rsidR="00A53E37">
        <w:rPr>
          <w:rFonts w:ascii="Calibri" w:hAnsi="Calibri" w:cs="Calibri"/>
          <w:i/>
          <w:color w:val="000000"/>
          <w:shd w:val="clear" w:color="auto" w:fill="FFFFFF"/>
        </w:rPr>
        <w:t xml:space="preserve"> nabywcom w 2020 roku, zostaną one tym samym </w:t>
      </w:r>
      <w:r w:rsidR="00C778E7">
        <w:rPr>
          <w:rFonts w:ascii="Calibri" w:hAnsi="Calibri" w:cs="Calibri"/>
          <w:i/>
          <w:color w:val="000000"/>
          <w:shd w:val="clear" w:color="auto" w:fill="FFFFFF"/>
        </w:rPr>
        <w:t xml:space="preserve">rozpoznane </w:t>
      </w:r>
      <w:r w:rsidR="00A53E37">
        <w:rPr>
          <w:rFonts w:ascii="Calibri" w:hAnsi="Calibri" w:cs="Calibri"/>
          <w:i/>
          <w:color w:val="000000"/>
          <w:shd w:val="clear" w:color="auto" w:fill="FFFFFF"/>
        </w:rPr>
        <w:t>w tegorocznych przychodach. Kontraktacja na projektach, które zostały wybudowane w zeszłym roku wynosi ok. 90%</w:t>
      </w:r>
      <w:r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– 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mówi Zbigniew </w:t>
      </w:r>
      <w:proofErr w:type="spellStart"/>
      <w:r>
        <w:rPr>
          <w:rFonts w:ascii="Calibri" w:hAnsi="Calibri" w:cs="Calibri"/>
          <w:b/>
          <w:color w:val="000000"/>
          <w:shd w:val="clear" w:color="auto" w:fill="FFFFFF"/>
        </w:rPr>
        <w:t>Juroszek</w:t>
      </w:r>
      <w:proofErr w:type="spellEnd"/>
      <w:r>
        <w:rPr>
          <w:rFonts w:ascii="Calibri" w:hAnsi="Calibri" w:cs="Calibri"/>
          <w:b/>
          <w:color w:val="000000"/>
          <w:shd w:val="clear" w:color="auto" w:fill="FFFFFF"/>
        </w:rPr>
        <w:t>, prezes ATAL.</w:t>
      </w:r>
    </w:p>
    <w:p w:rsidR="00C778E7" w:rsidRPr="000A7E26" w:rsidRDefault="00C778E7" w:rsidP="00DA0212">
      <w:pPr>
        <w:pStyle w:val="NormalnyWeb"/>
        <w:spacing w:before="240" w:after="120" w:line="276" w:lineRule="auto"/>
        <w:jc w:val="both"/>
        <w:rPr>
          <w:rFonts w:ascii="Calibri" w:hAnsi="Calibri" w:cs="Calibri"/>
          <w:color w:val="FF0000"/>
        </w:rPr>
      </w:pPr>
      <w:r w:rsidRPr="000A7E26">
        <w:rPr>
          <w:rFonts w:ascii="Calibri" w:hAnsi="Calibri" w:cs="Calibri"/>
        </w:rPr>
        <w:t xml:space="preserve">Najwięcej lokali zostało wydanych we Wrocławiu (472), Warszawie (438), Łodzi (286), Krakowie (223), następnie w Trójmieście (197), Katowicach (150) i Poznaniu (3). 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5"/>
        <w:gridCol w:w="4321"/>
      </w:tblGrid>
      <w:tr w:rsidR="00395815" w:rsidTr="00DF7DA2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395815" w:rsidRDefault="008D70CD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WYDANIA</w:t>
            </w:r>
            <w:r w:rsidR="00395815">
              <w:rPr>
                <w:rFonts w:ascii="Calibri" w:hAnsi="Calibri" w:cs="Calibri"/>
                <w:b/>
                <w:bCs/>
                <w:color w:val="000000"/>
              </w:rPr>
              <w:t xml:space="preserve"> LOKALI ATAL</w:t>
            </w:r>
            <w:r w:rsidR="00DA0212">
              <w:rPr>
                <w:rFonts w:ascii="Calibri" w:hAnsi="Calibri" w:cs="Calibri"/>
                <w:b/>
                <w:bCs/>
                <w:color w:val="000000"/>
              </w:rPr>
              <w:t xml:space="preserve"> W 2019</w:t>
            </w:r>
            <w:r w:rsidR="00395815">
              <w:rPr>
                <w:rFonts w:ascii="Calibri" w:hAnsi="Calibri" w:cs="Calibri"/>
                <w:b/>
                <w:bCs/>
                <w:color w:val="000000"/>
              </w:rPr>
              <w:t xml:space="preserve"> (wg. MIAST)</w:t>
            </w:r>
          </w:p>
        </w:tc>
      </w:tr>
      <w:tr w:rsidR="00395815" w:rsidTr="00DF7DA2">
        <w:trPr>
          <w:trHeight w:val="292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4321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przekazanych lokali</w:t>
            </w:r>
          </w:p>
        </w:tc>
      </w:tr>
      <w:tr w:rsidR="00395815" w:rsidTr="00DF7DA2">
        <w:trPr>
          <w:trHeight w:val="307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C778E7" w:rsidP="00DF7DA2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395815" w:rsidTr="00DF7DA2">
        <w:trPr>
          <w:trHeight w:val="292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4321" w:type="dxa"/>
            <w:shd w:val="clear" w:color="auto" w:fill="auto"/>
          </w:tcPr>
          <w:p w:rsidR="00395815" w:rsidRPr="00100BA2" w:rsidRDefault="00C778E7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</w:tr>
      <w:tr w:rsidR="00395815" w:rsidTr="00DF7DA2">
        <w:trPr>
          <w:trHeight w:val="307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C778E7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</w:tr>
      <w:tr w:rsidR="00395815" w:rsidTr="00DF7DA2">
        <w:trPr>
          <w:trHeight w:val="292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4321" w:type="dxa"/>
            <w:shd w:val="clear" w:color="auto" w:fill="auto"/>
          </w:tcPr>
          <w:p w:rsidR="00395815" w:rsidRPr="00100BA2" w:rsidRDefault="00C778E7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</w:tr>
      <w:tr w:rsidR="00395815" w:rsidTr="00DF7DA2">
        <w:trPr>
          <w:trHeight w:val="307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C778E7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472</w:t>
            </w:r>
          </w:p>
        </w:tc>
      </w:tr>
      <w:tr w:rsidR="00395815" w:rsidTr="00DF7DA2">
        <w:trPr>
          <w:trHeight w:val="261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4321" w:type="dxa"/>
            <w:shd w:val="clear" w:color="auto" w:fill="auto"/>
          </w:tcPr>
          <w:p w:rsidR="00395815" w:rsidRPr="00100BA2" w:rsidRDefault="00C778E7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</w:tr>
      <w:tr w:rsidR="00395815" w:rsidTr="00DF7DA2">
        <w:trPr>
          <w:trHeight w:val="261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 xml:space="preserve">Poznań 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C778E7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95815" w:rsidTr="00DF7DA2">
        <w:trPr>
          <w:trHeight w:val="323"/>
        </w:trPr>
        <w:tc>
          <w:tcPr>
            <w:tcW w:w="5035" w:type="dxa"/>
            <w:tcBorders>
              <w:bottom w:val="single" w:sz="4" w:space="0" w:color="FF0000"/>
            </w:tcBorders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4321" w:type="dxa"/>
            <w:tcBorders>
              <w:bottom w:val="single" w:sz="4" w:space="0" w:color="FF0000"/>
            </w:tcBorders>
            <w:shd w:val="clear" w:color="auto" w:fill="auto"/>
          </w:tcPr>
          <w:p w:rsidR="00395815" w:rsidRPr="00100BA2" w:rsidRDefault="00C778E7" w:rsidP="00DF7DA2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1 769</w:t>
            </w:r>
          </w:p>
        </w:tc>
      </w:tr>
    </w:tbl>
    <w:p w:rsidR="000A7E26" w:rsidRDefault="000A7E26" w:rsidP="000A7E26">
      <w:pPr>
        <w:spacing w:after="120" w:line="276" w:lineRule="auto"/>
        <w:jc w:val="both"/>
        <w:rPr>
          <w:rFonts w:ascii="Calibri" w:hAnsi="Calibri" w:cs="Calibri"/>
          <w:b/>
          <w:bCs/>
        </w:rPr>
      </w:pPr>
    </w:p>
    <w:p w:rsidR="000A7E26" w:rsidRPr="000A7E26" w:rsidRDefault="000A7E26" w:rsidP="000A7E26">
      <w:pPr>
        <w:spacing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ATAL w </w:t>
      </w:r>
      <w:r w:rsidRPr="002423BB">
        <w:rPr>
          <w:rFonts w:ascii="Calibri" w:hAnsi="Calibri" w:cs="Calibri"/>
          <w:b/>
          <w:bCs/>
        </w:rPr>
        <w:t>201</w:t>
      </w:r>
      <w:r>
        <w:rPr>
          <w:rFonts w:ascii="Calibri" w:hAnsi="Calibri" w:cs="Calibri"/>
          <w:b/>
          <w:bCs/>
        </w:rPr>
        <w:t xml:space="preserve">9 roku zakontraktował rekordową liczbę </w:t>
      </w:r>
      <w:r w:rsidRPr="00593065">
        <w:rPr>
          <w:rFonts w:ascii="Calibri" w:hAnsi="Calibri" w:cs="Calibri"/>
          <w:b/>
          <w:bCs/>
        </w:rPr>
        <w:t>319</w:t>
      </w:r>
      <w:r>
        <w:rPr>
          <w:rFonts w:ascii="Calibri" w:hAnsi="Calibri" w:cs="Calibri"/>
          <w:b/>
          <w:bCs/>
        </w:rPr>
        <w:t>6</w:t>
      </w:r>
      <w:r w:rsidRPr="00593065">
        <w:rPr>
          <w:rFonts w:ascii="Calibri" w:hAnsi="Calibri" w:cs="Calibri"/>
          <w:b/>
          <w:bCs/>
        </w:rPr>
        <w:t xml:space="preserve"> lokal</w:t>
      </w:r>
      <w:r>
        <w:rPr>
          <w:rFonts w:ascii="Calibri" w:hAnsi="Calibri" w:cs="Calibri"/>
          <w:b/>
          <w:bCs/>
        </w:rPr>
        <w:t>i. To 32% więcej niż przed rokiem (</w:t>
      </w:r>
      <w:r w:rsidRPr="00113E91">
        <w:rPr>
          <w:rFonts w:ascii="Calibri" w:hAnsi="Calibri" w:cs="Calibri"/>
          <w:b/>
          <w:bCs/>
        </w:rPr>
        <w:t>2420</w:t>
      </w:r>
      <w:r>
        <w:rPr>
          <w:rFonts w:ascii="Calibri" w:hAnsi="Calibri" w:cs="Calibri"/>
          <w:b/>
          <w:bCs/>
        </w:rPr>
        <w:t>) i blisko 15% więcej niż w 2017 roku (2787).</w:t>
      </w:r>
      <w:r w:rsidRPr="000A7E26">
        <w:rPr>
          <w:rFonts w:ascii="Calibri" w:hAnsi="Calibri" w:cs="Calibri"/>
          <w:bCs/>
        </w:rPr>
        <w:t xml:space="preserve"> Najwięcej umów deweloperskich podpisano w Warszawie (638), Krakowie (583) i Łodzi (505). Założenia spółki na 2020 rok przewidują, że sprzedaż pozostanie na wysokim poziomie – zbliżonym do wyniku z 2019 roku. </w:t>
      </w:r>
    </w:p>
    <w:p w:rsidR="00C778E7" w:rsidRPr="00BA7689" w:rsidRDefault="00C778E7" w:rsidP="00C778E7">
      <w:pPr>
        <w:pStyle w:val="NormalnyWeb"/>
        <w:spacing w:line="276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 trakcie 2019 roku ATAL wprowadził do sprzedaży w sumie </w:t>
      </w:r>
      <w:r w:rsidRPr="0036403C">
        <w:rPr>
          <w:rFonts w:ascii="Calibri" w:hAnsi="Calibri" w:cs="Calibri"/>
          <w:b/>
          <w:bCs/>
        </w:rPr>
        <w:t>20 projektów z 2794 lokalami</w:t>
      </w:r>
      <w:r w:rsidRPr="00FE0612">
        <w:rPr>
          <w:rFonts w:ascii="Calibri" w:hAnsi="Calibri" w:cs="Calibri"/>
          <w:shd w:val="clear" w:color="auto" w:fill="FFFFFF"/>
        </w:rPr>
        <w:t xml:space="preserve">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w Łodzi Drewnowska 43 III, Chojny Park etapy IV i V oraz Nowe Miasto Polesie, we Wrocławiu ATAL Oporów, Nowe Miasto Polesie, Nowe Miasto Jagodno II i Nowe Miasto Różanka V, w Krakowie kolejne etapy ATAL Kliny Zacisze (III i IV), Bronowice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Residence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VI, ATAL Aleja Pokoju etapy IIIA i IV oraz Apartamenty Przybyszewskiego III, w Poznaniu Ptasia 20 oraz Apartamenty Dmowskiego, w Warszawie Nowa Grochowska etapy II i III oraz Apartamenty Ostródzka, w aglomeracji śląskiej </w:t>
      </w:r>
      <w:r>
        <w:rPr>
          <w:rFonts w:ascii="Calibri" w:hAnsi="Calibri" w:cs="Calibri"/>
          <w:color w:val="000000"/>
          <w:shd w:val="clear" w:color="auto" w:fill="FFFFFF"/>
        </w:rPr>
        <w:lastRenderedPageBreak/>
        <w:t>Apartamenty Karolinki I.</w:t>
      </w:r>
    </w:p>
    <w:p w:rsidR="00C778E7" w:rsidRDefault="00C778E7" w:rsidP="00C778E7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9F4469">
        <w:rPr>
          <w:rFonts w:ascii="Calibri" w:hAnsi="Calibri" w:cs="Calibri"/>
          <w:shd w:val="clear" w:color="auto" w:fill="FFFFFF"/>
        </w:rPr>
        <w:t xml:space="preserve">Spółka </w:t>
      </w:r>
      <w:r w:rsidRPr="009F4469">
        <w:rPr>
          <w:rFonts w:ascii="Calibri" w:hAnsi="Calibri" w:cs="Calibri"/>
          <w:b/>
          <w:shd w:val="clear" w:color="auto" w:fill="FFFFFF"/>
        </w:rPr>
        <w:t>ATAL Development GmbH</w:t>
      </w:r>
      <w:r>
        <w:rPr>
          <w:rFonts w:ascii="Calibri" w:hAnsi="Calibri" w:cs="Calibri"/>
          <w:shd w:val="clear" w:color="auto" w:fill="FFFFFF"/>
        </w:rPr>
        <w:t xml:space="preserve"> – w której ATAL</w:t>
      </w:r>
      <w:r w:rsidRPr="009F4469">
        <w:rPr>
          <w:rFonts w:ascii="Calibri" w:hAnsi="Calibri" w:cs="Calibri"/>
          <w:shd w:val="clear" w:color="auto" w:fill="FFFFFF"/>
        </w:rPr>
        <w:t xml:space="preserve"> posiada 49%, udziałów, a </w:t>
      </w:r>
      <w:proofErr w:type="spellStart"/>
      <w:r w:rsidRPr="009F4469">
        <w:rPr>
          <w:rFonts w:ascii="Calibri" w:hAnsi="Calibri" w:cs="Calibri"/>
          <w:shd w:val="clear" w:color="auto" w:fill="FFFFFF"/>
        </w:rPr>
        <w:t>Juroszek</w:t>
      </w:r>
      <w:proofErr w:type="spellEnd"/>
      <w:r w:rsidRPr="009F4469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9F4469">
        <w:rPr>
          <w:rFonts w:ascii="Calibri" w:hAnsi="Calibri" w:cs="Calibri"/>
          <w:shd w:val="clear" w:color="auto" w:fill="FFFFFF"/>
        </w:rPr>
        <w:t>Investments</w:t>
      </w:r>
      <w:proofErr w:type="spellEnd"/>
      <w:r w:rsidRPr="009F4469">
        <w:rPr>
          <w:rFonts w:ascii="Calibri" w:hAnsi="Calibri" w:cs="Calibri"/>
          <w:shd w:val="clear" w:color="auto" w:fill="FFFFFF"/>
        </w:rPr>
        <w:t xml:space="preserve"> Sp. z o.o. 51% udziałów – </w:t>
      </w:r>
      <w:r w:rsidRPr="009F4469">
        <w:rPr>
          <w:rFonts w:ascii="Calibri" w:hAnsi="Calibri" w:cs="Calibri"/>
          <w:b/>
          <w:shd w:val="clear" w:color="auto" w:fill="FFFFFF"/>
        </w:rPr>
        <w:t>zawarła warunkową umowę nabycia gruntu pod budownictwo mieszkaniowe dla inwestycji wieloetapowej znajdującej się na terenie Drezna</w:t>
      </w:r>
      <w:r w:rsidRPr="009F4469">
        <w:rPr>
          <w:rFonts w:ascii="Calibri" w:hAnsi="Calibri" w:cs="Calibri"/>
          <w:shd w:val="clear" w:color="auto" w:fill="FFFFFF"/>
        </w:rPr>
        <w:t xml:space="preserve">. Umowa zakupu o wartości </w:t>
      </w:r>
      <w:r w:rsidRPr="009F4469">
        <w:rPr>
          <w:rFonts w:ascii="Calibri" w:hAnsi="Calibri" w:cs="Calibri"/>
          <w:b/>
          <w:shd w:val="clear" w:color="auto" w:fill="FFFFFF"/>
        </w:rPr>
        <w:t>44,25 mln EUR</w:t>
      </w:r>
      <w:r w:rsidRPr="009F4469">
        <w:rPr>
          <w:rFonts w:ascii="Calibri" w:hAnsi="Calibri" w:cs="Calibri"/>
          <w:shd w:val="clear" w:color="auto" w:fill="FFFFFF"/>
        </w:rPr>
        <w:t xml:space="preserve"> </w:t>
      </w:r>
      <w:r w:rsidR="000E1073" w:rsidRPr="000E1073">
        <w:rPr>
          <w:rFonts w:ascii="Calibri" w:hAnsi="Calibri" w:cs="Calibri"/>
        </w:rPr>
        <w:t>zrealizowana została etapami, a całkowite zamknięcie</w:t>
      </w:r>
      <w:r w:rsidR="00977447">
        <w:rPr>
          <w:rFonts w:ascii="Calibri" w:hAnsi="Calibri" w:cs="Calibri"/>
        </w:rPr>
        <w:t xml:space="preserve"> transakcji nastąpiło w styczniu</w:t>
      </w:r>
      <w:bookmarkStart w:id="0" w:name="_GoBack"/>
      <w:bookmarkEnd w:id="0"/>
      <w:r w:rsidR="000E1073" w:rsidRPr="000E1073">
        <w:rPr>
          <w:rFonts w:ascii="Calibri" w:hAnsi="Calibri" w:cs="Calibri"/>
        </w:rPr>
        <w:t xml:space="preserve"> 2020 roku.</w:t>
      </w:r>
    </w:p>
    <w:p w:rsidR="00C778E7" w:rsidRPr="00B41980" w:rsidRDefault="00C778E7" w:rsidP="00C778E7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  <w:r w:rsidRPr="003315E3">
        <w:rPr>
          <w:rFonts w:ascii="Calibri" w:hAnsi="Calibri" w:cs="Calibri"/>
        </w:rPr>
        <w:t>ATAL rozszerza portfolio produktowe.</w:t>
      </w:r>
      <w:r w:rsidRPr="00C259AB">
        <w:rPr>
          <w:rFonts w:ascii="Calibri" w:hAnsi="Calibri" w:cs="Calibri"/>
          <w:b/>
        </w:rPr>
        <w:t xml:space="preserve"> Spółka rozwija kompetencje na rynku komercyjnym, wprowadzając do oferty kolejne biurowce. </w:t>
      </w:r>
      <w:r w:rsidRPr="006D5D65">
        <w:rPr>
          <w:rFonts w:ascii="Calibri" w:hAnsi="Calibri" w:cs="Calibri"/>
        </w:rPr>
        <w:t>Pierwszy nowy obiekt – o powierzchni ok. 13,5 tys. PUM – powstaje w południowej części Wrocławia, przy ul. Krakowskiej 35.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 xml:space="preserve">Aleja Pokoju 81 </w:t>
      </w:r>
      <w:r>
        <w:rPr>
          <w:rFonts w:ascii="Calibri" w:hAnsi="Calibri" w:cs="Calibri"/>
          <w:bCs/>
        </w:rPr>
        <w:t>to</w:t>
      </w:r>
      <w:r w:rsidRPr="006D5D6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k</w:t>
      </w:r>
      <w:r w:rsidRPr="006D5D65">
        <w:rPr>
          <w:rFonts w:ascii="Calibri" w:hAnsi="Calibri" w:cs="Calibri"/>
          <w:bCs/>
        </w:rPr>
        <w:t>olejny</w:t>
      </w:r>
      <w:r w:rsidRPr="006D5D65">
        <w:rPr>
          <w:rFonts w:ascii="Calibri" w:hAnsi="Calibri" w:cs="Calibri"/>
          <w:b/>
        </w:rPr>
        <w:t xml:space="preserve"> </w:t>
      </w:r>
      <w:r w:rsidRPr="006D5D65">
        <w:rPr>
          <w:rFonts w:ascii="Calibri" w:hAnsi="Calibri" w:cs="Calibri"/>
          <w:bCs/>
        </w:rPr>
        <w:t>kompleks</w:t>
      </w:r>
      <w:r>
        <w:rPr>
          <w:rFonts w:ascii="Calibri" w:hAnsi="Calibri" w:cs="Calibri"/>
          <w:bCs/>
        </w:rPr>
        <w:t xml:space="preserve"> biurowy, który </w:t>
      </w:r>
      <w:r w:rsidRPr="006D5D65">
        <w:rPr>
          <w:rFonts w:ascii="Calibri" w:hAnsi="Calibri" w:cs="Calibri"/>
          <w:bCs/>
        </w:rPr>
        <w:t>powstaje na krakowskich Czyżynach</w:t>
      </w:r>
      <w:r>
        <w:rPr>
          <w:rFonts w:ascii="Calibri" w:hAnsi="Calibri" w:cs="Calibri"/>
          <w:bCs/>
        </w:rPr>
        <w:t xml:space="preserve"> i</w:t>
      </w:r>
      <w:r w:rsidRPr="006D5D65">
        <w:rPr>
          <w:rFonts w:ascii="Calibri" w:hAnsi="Calibri" w:cs="Calibri"/>
          <w:bCs/>
        </w:rPr>
        <w:t xml:space="preserve"> </w:t>
      </w:r>
      <w:r w:rsidRPr="00C53965">
        <w:rPr>
          <w:rFonts w:ascii="Calibri" w:hAnsi="Calibri" w:cs="Calibri"/>
          <w:bCs/>
        </w:rPr>
        <w:t xml:space="preserve">zaoferuje 8,4 tys. mkw. nowoczesnej powierzchni biurowo-usługowej. </w:t>
      </w:r>
      <w:r w:rsidRPr="006D5D65">
        <w:rPr>
          <w:rFonts w:ascii="Calibri" w:hAnsi="Calibri" w:cs="Calibri"/>
          <w:b/>
        </w:rPr>
        <w:t xml:space="preserve">Oba biurowce zdobyły certyfikat BREEAM </w:t>
      </w:r>
      <w:proofErr w:type="spellStart"/>
      <w:r w:rsidRPr="006D5D65">
        <w:rPr>
          <w:rFonts w:ascii="Calibri" w:hAnsi="Calibri" w:cs="Calibri"/>
          <w:b/>
        </w:rPr>
        <w:t>Very</w:t>
      </w:r>
      <w:proofErr w:type="spellEnd"/>
      <w:r w:rsidRPr="006D5D65">
        <w:rPr>
          <w:rFonts w:ascii="Calibri" w:hAnsi="Calibri" w:cs="Calibri"/>
          <w:b/>
        </w:rPr>
        <w:t xml:space="preserve"> Good dla Design </w:t>
      </w:r>
      <w:proofErr w:type="spellStart"/>
      <w:r w:rsidRPr="006D5D65">
        <w:rPr>
          <w:rFonts w:ascii="Calibri" w:hAnsi="Calibri" w:cs="Calibri"/>
          <w:b/>
        </w:rPr>
        <w:t>Stage</w:t>
      </w:r>
      <w:proofErr w:type="spellEnd"/>
      <w:r w:rsidRPr="006D5D65">
        <w:rPr>
          <w:rFonts w:ascii="Calibri" w:hAnsi="Calibri" w:cs="Calibri"/>
          <w:b/>
        </w:rPr>
        <w:t>.</w:t>
      </w:r>
      <w:r>
        <w:rPr>
          <w:rFonts w:ascii="Calibri" w:hAnsi="Calibri" w:cs="Calibri"/>
          <w:bCs/>
        </w:rPr>
        <w:t xml:space="preserve"> </w:t>
      </w:r>
      <w:r w:rsidRPr="003315E3">
        <w:rPr>
          <w:rFonts w:ascii="Calibri" w:hAnsi="Calibri" w:cs="Calibri"/>
        </w:rPr>
        <w:t xml:space="preserve">Deweloper planuje kolejne projekty w innych lokalizacjach. Spółka </w:t>
      </w:r>
      <w:proofErr w:type="spellStart"/>
      <w:r w:rsidRPr="003315E3">
        <w:rPr>
          <w:rFonts w:ascii="Calibri" w:hAnsi="Calibri" w:cs="Calibri"/>
        </w:rPr>
        <w:t>uruch</w:t>
      </w:r>
      <w:r>
        <w:rPr>
          <w:rFonts w:ascii="Calibri" w:hAnsi="Calibri" w:cs="Calibri"/>
        </w:rPr>
        <w:t>iła</w:t>
      </w:r>
      <w:proofErr w:type="spellEnd"/>
      <w:r w:rsidRPr="003315E3">
        <w:rPr>
          <w:rFonts w:ascii="Calibri" w:hAnsi="Calibri" w:cs="Calibri"/>
        </w:rPr>
        <w:t xml:space="preserve"> również dedykowaną biurowcom stronę internetową: </w:t>
      </w:r>
      <w:hyperlink r:id="rId6" w:history="1">
        <w:r w:rsidRPr="00D24223">
          <w:rPr>
            <w:rStyle w:val="Hipercze"/>
            <w:rFonts w:ascii="Calibri" w:hAnsi="Calibri" w:cs="Calibri"/>
            <w:b/>
          </w:rPr>
          <w:t>atalbusiness.pl</w:t>
        </w:r>
      </w:hyperlink>
      <w:r>
        <w:rPr>
          <w:rFonts w:ascii="Calibri" w:hAnsi="Calibri" w:cs="Calibri"/>
          <w:b/>
        </w:rPr>
        <w:t xml:space="preserve"> </w:t>
      </w:r>
    </w:p>
    <w:p w:rsidR="00C778E7" w:rsidRDefault="00C778E7" w:rsidP="00C778E7">
      <w:pPr>
        <w:pStyle w:val="NormalnyWeb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ATAL jest spółką dywidendową. </w:t>
      </w:r>
      <w:r>
        <w:rPr>
          <w:rFonts w:ascii="Calibri" w:hAnsi="Calibri" w:cs="Calibri"/>
          <w:shd w:val="clear" w:color="auto" w:fill="FFFFFF"/>
        </w:rPr>
        <w:t xml:space="preserve">W 2016 roku została wypłacona dywidenda w wysokości 0,61 zł na akcję, co łącznie dało kwotę </w:t>
      </w:r>
      <w:r w:rsidRPr="0020360D">
        <w:rPr>
          <w:rFonts w:ascii="Calibri" w:hAnsi="Calibri" w:cs="Calibri"/>
          <w:b/>
          <w:shd w:val="clear" w:color="auto" w:fill="FFFFFF"/>
        </w:rPr>
        <w:t xml:space="preserve">23,6 mln </w:t>
      </w:r>
      <w:r w:rsidRPr="0020360D">
        <w:rPr>
          <w:rFonts w:ascii="Calibri" w:hAnsi="Calibri" w:cs="Calibri"/>
          <w:b/>
        </w:rPr>
        <w:t>zł</w:t>
      </w:r>
      <w:r>
        <w:rPr>
          <w:rFonts w:ascii="Calibri" w:hAnsi="Calibri" w:cs="Calibri"/>
        </w:rPr>
        <w:t xml:space="preserve">. Dywidenda wyniosła wówczas 50% zysku netto z 2015 roku. W 2017 roku ATAL </w:t>
      </w:r>
      <w:r w:rsidRPr="0020360D">
        <w:rPr>
          <w:rFonts w:ascii="Calibri" w:hAnsi="Calibri" w:cs="Calibri"/>
        </w:rPr>
        <w:t xml:space="preserve">wypłacił akcjonariuszom 1,68 zł na akcję, </w:t>
      </w:r>
      <w:r>
        <w:rPr>
          <w:rFonts w:ascii="Calibri" w:hAnsi="Calibri" w:cs="Calibri"/>
        </w:rPr>
        <w:t>czyli</w:t>
      </w:r>
      <w:r w:rsidRPr="0020360D">
        <w:rPr>
          <w:rFonts w:ascii="Calibri" w:hAnsi="Calibri" w:cs="Calibri"/>
        </w:rPr>
        <w:t xml:space="preserve"> </w:t>
      </w:r>
      <w:r w:rsidRPr="0020360D">
        <w:rPr>
          <w:rFonts w:ascii="Calibri" w:hAnsi="Calibri" w:cs="Calibri"/>
          <w:b/>
        </w:rPr>
        <w:t>ok. 65 mln zł</w:t>
      </w:r>
      <w:r w:rsidRPr="0020360D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co stanowiło</w:t>
      </w:r>
      <w:r w:rsidRPr="0020360D">
        <w:rPr>
          <w:rFonts w:ascii="Calibri" w:hAnsi="Calibri" w:cs="Calibri"/>
        </w:rPr>
        <w:t xml:space="preserve"> 70% zysku netto z 2016 roku.</w:t>
      </w:r>
      <w:r>
        <w:rPr>
          <w:rFonts w:ascii="Calibri" w:hAnsi="Calibri" w:cs="Calibri"/>
          <w:b/>
        </w:rPr>
        <w:t xml:space="preserve"> W 2018 roku spółka wypłaciła akcjonariuszom </w:t>
      </w:r>
      <w:r w:rsidRPr="00C05D3F">
        <w:rPr>
          <w:rFonts w:ascii="Calibri" w:hAnsi="Calibri" w:cs="Calibri"/>
          <w:b/>
        </w:rPr>
        <w:t>137 mln zł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(3,54</w:t>
      </w:r>
      <w:r w:rsidRPr="00F66EA9">
        <w:rPr>
          <w:rFonts w:ascii="Calibri" w:hAnsi="Calibri" w:cs="Calibri"/>
        </w:rPr>
        <w:t xml:space="preserve"> zł na akcję),</w:t>
      </w:r>
      <w:r w:rsidRPr="00C05D3F">
        <w:rPr>
          <w:rFonts w:ascii="Calibri" w:hAnsi="Calibri" w:cs="Calibri"/>
        </w:rPr>
        <w:t xml:space="preserve"> czyli 80% zysku </w:t>
      </w:r>
      <w:r>
        <w:rPr>
          <w:rFonts w:ascii="Calibri" w:hAnsi="Calibri" w:cs="Calibri"/>
        </w:rPr>
        <w:t xml:space="preserve">jednostki dominującej </w:t>
      </w:r>
      <w:r w:rsidRPr="00C05D3F">
        <w:rPr>
          <w:rFonts w:ascii="Calibri" w:hAnsi="Calibri" w:cs="Calibri"/>
        </w:rPr>
        <w:t>z 2017 roku.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W 2019 roku spółka wypłaciła akcjonariuszom 182</w:t>
      </w:r>
      <w:r w:rsidRPr="00C05D3F">
        <w:rPr>
          <w:rFonts w:ascii="Calibri" w:hAnsi="Calibri" w:cs="Calibri"/>
          <w:b/>
        </w:rPr>
        <w:t xml:space="preserve"> mln zł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(4,70</w:t>
      </w:r>
      <w:r w:rsidRPr="00F66EA9">
        <w:rPr>
          <w:rFonts w:ascii="Calibri" w:hAnsi="Calibri" w:cs="Calibri"/>
        </w:rPr>
        <w:t xml:space="preserve"> zł na akcję),</w:t>
      </w:r>
      <w:r>
        <w:rPr>
          <w:rFonts w:ascii="Calibri" w:hAnsi="Calibri" w:cs="Calibri"/>
        </w:rPr>
        <w:t xml:space="preserve"> czyli 100</w:t>
      </w:r>
      <w:r w:rsidRPr="00C05D3F">
        <w:rPr>
          <w:rFonts w:ascii="Calibri" w:hAnsi="Calibri" w:cs="Calibri"/>
        </w:rPr>
        <w:t xml:space="preserve">% zysku </w:t>
      </w:r>
      <w:r>
        <w:rPr>
          <w:rFonts w:ascii="Calibri" w:hAnsi="Calibri" w:cs="Calibri"/>
        </w:rPr>
        <w:t>netto z 2018</w:t>
      </w:r>
      <w:r w:rsidRPr="00C05D3F">
        <w:rPr>
          <w:rFonts w:ascii="Calibri" w:hAnsi="Calibri" w:cs="Calibri"/>
        </w:rPr>
        <w:t xml:space="preserve"> roku.</w:t>
      </w:r>
    </w:p>
    <w:p w:rsidR="000A7E26" w:rsidRPr="002A6A08" w:rsidRDefault="000A7E26" w:rsidP="000A7E26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  <w:shd w:val="clear" w:color="auto" w:fill="FFFFFF"/>
        </w:rPr>
      </w:pPr>
      <w:r w:rsidRPr="00766BBF">
        <w:rPr>
          <w:rFonts w:ascii="Calibri" w:hAnsi="Calibri" w:cs="Calibri"/>
          <w:bCs/>
          <w:shd w:val="clear" w:color="auto" w:fill="FFFFFF"/>
        </w:rPr>
        <w:t xml:space="preserve">ATAL od stycznia do września </w:t>
      </w:r>
      <w:r>
        <w:rPr>
          <w:rFonts w:ascii="Calibri" w:hAnsi="Calibri" w:cs="Calibri"/>
          <w:bCs/>
          <w:shd w:val="clear" w:color="auto" w:fill="FFFFFF"/>
        </w:rPr>
        <w:t>2019</w:t>
      </w:r>
      <w:r w:rsidRPr="00766BBF">
        <w:rPr>
          <w:rFonts w:ascii="Calibri" w:hAnsi="Calibri" w:cs="Calibri"/>
          <w:bCs/>
          <w:shd w:val="clear" w:color="auto" w:fill="FFFFFF"/>
        </w:rPr>
        <w:t xml:space="preserve"> roku, po wydaniu 1094 lokali, </w:t>
      </w:r>
      <w:r w:rsidRPr="00766BBF">
        <w:rPr>
          <w:rFonts w:ascii="Calibri" w:hAnsi="Calibri" w:cs="Calibri"/>
          <w:b/>
          <w:shd w:val="clear" w:color="auto" w:fill="FFFFFF"/>
        </w:rPr>
        <w:t>wygenerował skonsolidowane przychody na poziomie 418,7 mln zł</w:t>
      </w:r>
      <w:r w:rsidRPr="00766BBF">
        <w:rPr>
          <w:rFonts w:ascii="Calibri" w:hAnsi="Calibri" w:cs="Calibri"/>
          <w:bCs/>
          <w:shd w:val="clear" w:color="auto" w:fill="FFFFFF"/>
        </w:rPr>
        <w:t xml:space="preserve">. W tym samym okresie sprawozdawczym </w:t>
      </w:r>
      <w:r w:rsidRPr="00766BBF">
        <w:rPr>
          <w:rFonts w:ascii="Calibri" w:hAnsi="Calibri" w:cs="Calibri"/>
          <w:b/>
          <w:shd w:val="clear" w:color="auto" w:fill="FFFFFF"/>
        </w:rPr>
        <w:t>spółka wypracowała 68,5 mln zł zysku netto</w:t>
      </w:r>
      <w:r w:rsidRPr="00766BBF">
        <w:rPr>
          <w:rFonts w:ascii="Calibri" w:hAnsi="Calibri" w:cs="Calibri"/>
          <w:bCs/>
          <w:shd w:val="clear" w:color="auto" w:fill="FFFFFF"/>
        </w:rPr>
        <w:t xml:space="preserve"> </w:t>
      </w:r>
      <w:r w:rsidRPr="00766BBF">
        <w:rPr>
          <w:rFonts w:ascii="Calibri" w:hAnsi="Calibri" w:cs="Calibri"/>
          <w:bCs/>
        </w:rPr>
        <w:t>przypadającego akcjonariuszom jednostki dominującej</w:t>
      </w:r>
      <w:r w:rsidRPr="00766BBF">
        <w:rPr>
          <w:rFonts w:ascii="Calibri" w:hAnsi="Calibri" w:cs="Calibri"/>
          <w:bCs/>
          <w:shd w:val="clear" w:color="auto" w:fill="FFFFFF"/>
        </w:rPr>
        <w:t xml:space="preserve">. </w:t>
      </w:r>
      <w:r w:rsidRPr="00766BBF">
        <w:rPr>
          <w:rFonts w:ascii="Calibri" w:hAnsi="Calibri" w:cs="Calibri"/>
          <w:b/>
          <w:shd w:val="clear" w:color="auto" w:fill="FFFFFF"/>
        </w:rPr>
        <w:t>Marża brutto ze sprzedaży od stycznia do września wyniosła 27,3%</w:t>
      </w:r>
      <w:r w:rsidRPr="00766BBF">
        <w:rPr>
          <w:rFonts w:ascii="Calibri" w:hAnsi="Calibri" w:cs="Calibri"/>
          <w:bCs/>
          <w:shd w:val="clear" w:color="auto" w:fill="FFFFFF"/>
        </w:rPr>
        <w:t>, natomiast marża netto w I-III kw. 2019 to 16,8%.</w:t>
      </w:r>
    </w:p>
    <w:p w:rsidR="00B70EBB" w:rsidRDefault="00B70EBB" w:rsidP="00B70EBB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:rsidR="00B70EBB" w:rsidRDefault="00B70EBB" w:rsidP="00B70EBB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:rsidR="00B70EBB" w:rsidRDefault="00B70EBB" w:rsidP="00B70EBB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:rsidR="00B70EBB" w:rsidRDefault="00B70EBB" w:rsidP="00B70EBB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:rsidR="00B70EBB" w:rsidRPr="00DA0212" w:rsidRDefault="00B70EBB" w:rsidP="00B70EBB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 xml:space="preserve">Łukasz </w:t>
      </w:r>
      <w:proofErr w:type="spellStart"/>
      <w:r w:rsidRPr="00DA0212">
        <w:rPr>
          <w:rFonts w:ascii="Calibri" w:hAnsi="Calibri" w:cs="Calibri"/>
          <w:b/>
          <w:sz w:val="20"/>
          <w:szCs w:val="20"/>
          <w:shd w:val="clear" w:color="auto" w:fill="FFFFFF"/>
          <w:lang w:val="en-GB"/>
        </w:rPr>
        <w:t>Borkowski</w:t>
      </w:r>
      <w:proofErr w:type="spellEnd"/>
    </w:p>
    <w:p w:rsidR="00B70EBB" w:rsidRPr="00DA0212" w:rsidRDefault="00B70EBB" w:rsidP="00B70EBB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Fonts w:ascii="Calibri" w:hAnsi="Calibri" w:cs="Calibri"/>
          <w:sz w:val="20"/>
          <w:szCs w:val="20"/>
          <w:shd w:val="clear" w:color="auto" w:fill="FFFFFF"/>
          <w:lang w:val="en-GB"/>
        </w:rPr>
        <w:t>PR&amp;IR Manager</w:t>
      </w:r>
    </w:p>
    <w:p w:rsidR="00B70EBB" w:rsidRPr="00DA0212" w:rsidRDefault="00B70EBB" w:rsidP="00B70EBB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DA0212"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Tel. (+48) 519 871 423</w:t>
      </w:r>
    </w:p>
    <w:p w:rsidR="00B70EBB" w:rsidRDefault="00B70EBB" w:rsidP="00B70EBB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Agnieszka </w:t>
      </w:r>
      <w:proofErr w:type="spellStart"/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Fabich</w:t>
      </w:r>
      <w:proofErr w:type="spellEnd"/>
    </w:p>
    <w:p w:rsidR="00B70EBB" w:rsidRDefault="00B70EBB" w:rsidP="00B70EBB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Specjalista ds. PR</w:t>
      </w:r>
    </w:p>
    <w:p w:rsidR="00B70EBB" w:rsidRPr="00642AF8" w:rsidRDefault="00B70EBB" w:rsidP="00B70EBB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:rsidR="00B70EBB" w:rsidRDefault="00B70EBB" w:rsidP="00B70EBB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</w:p>
    <w:p w:rsidR="005A70B8" w:rsidRDefault="005A70B8"/>
    <w:sectPr w:rsidR="005A70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D9" w:rsidRDefault="008022D9">
      <w:r>
        <w:separator/>
      </w:r>
    </w:p>
  </w:endnote>
  <w:endnote w:type="continuationSeparator" w:id="0">
    <w:p w:rsidR="008022D9" w:rsidRDefault="0080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B" w:rsidRDefault="008022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>
      <w:tc>
        <w:tcPr>
          <w:tcW w:w="11309" w:type="dxa"/>
          <w:shd w:val="clear" w:color="auto" w:fill="auto"/>
        </w:tcPr>
        <w:p w:rsidR="00F630EB" w:rsidRDefault="00B70EBB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30EB" w:rsidRDefault="008022D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B" w:rsidRDefault="008022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D9" w:rsidRDefault="008022D9">
      <w:r>
        <w:separator/>
      </w:r>
    </w:p>
  </w:footnote>
  <w:footnote w:type="continuationSeparator" w:id="0">
    <w:p w:rsidR="008022D9" w:rsidRDefault="0080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>
      <w:tc>
        <w:tcPr>
          <w:tcW w:w="11113" w:type="dxa"/>
          <w:shd w:val="clear" w:color="auto" w:fill="auto"/>
        </w:tcPr>
        <w:p w:rsidR="00F630EB" w:rsidRDefault="00B70EB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30EB" w:rsidRDefault="008022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B" w:rsidRDefault="008022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BB"/>
    <w:rsid w:val="000326B3"/>
    <w:rsid w:val="000447A7"/>
    <w:rsid w:val="00055829"/>
    <w:rsid w:val="000A7E26"/>
    <w:rsid w:val="000E1073"/>
    <w:rsid w:val="00101A7E"/>
    <w:rsid w:val="00175BDC"/>
    <w:rsid w:val="00275764"/>
    <w:rsid w:val="0030422A"/>
    <w:rsid w:val="00387A39"/>
    <w:rsid w:val="0039515A"/>
    <w:rsid w:val="00395815"/>
    <w:rsid w:val="003D3BD4"/>
    <w:rsid w:val="003E07E4"/>
    <w:rsid w:val="00433EEB"/>
    <w:rsid w:val="004F1B97"/>
    <w:rsid w:val="00523074"/>
    <w:rsid w:val="00537906"/>
    <w:rsid w:val="005A70B8"/>
    <w:rsid w:val="006137ED"/>
    <w:rsid w:val="00613AE9"/>
    <w:rsid w:val="007265E3"/>
    <w:rsid w:val="00797B73"/>
    <w:rsid w:val="008022D9"/>
    <w:rsid w:val="008D70CD"/>
    <w:rsid w:val="00970CC4"/>
    <w:rsid w:val="00977447"/>
    <w:rsid w:val="00984B0A"/>
    <w:rsid w:val="00A53E37"/>
    <w:rsid w:val="00A72DB5"/>
    <w:rsid w:val="00B3343A"/>
    <w:rsid w:val="00B44612"/>
    <w:rsid w:val="00B62013"/>
    <w:rsid w:val="00B70EBB"/>
    <w:rsid w:val="00B97EF1"/>
    <w:rsid w:val="00BB3408"/>
    <w:rsid w:val="00C761EA"/>
    <w:rsid w:val="00C778E7"/>
    <w:rsid w:val="00D260E8"/>
    <w:rsid w:val="00DA0212"/>
    <w:rsid w:val="00DB4C4C"/>
    <w:rsid w:val="00E126C0"/>
    <w:rsid w:val="00E23B26"/>
    <w:rsid w:val="00E4711B"/>
    <w:rsid w:val="00E50213"/>
    <w:rsid w:val="00E563AA"/>
    <w:rsid w:val="00F61E9F"/>
    <w:rsid w:val="00F757E7"/>
    <w:rsid w:val="00FC2649"/>
    <w:rsid w:val="00FD04F1"/>
    <w:rsid w:val="00FD2EBB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7075F-F49E-4D64-B7A5-F92C13AC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E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0EBB"/>
    <w:rPr>
      <w:color w:val="000080"/>
      <w:u w:val="single"/>
    </w:rPr>
  </w:style>
  <w:style w:type="paragraph" w:styleId="Nagwek">
    <w:name w:val="header"/>
    <w:basedOn w:val="Normalny"/>
    <w:link w:val="NagwekZnak"/>
    <w:rsid w:val="00B70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70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0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B70EBB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FE13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13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albusiness.pl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9</cp:revision>
  <dcterms:created xsi:type="dcterms:W3CDTF">2019-01-10T15:12:00Z</dcterms:created>
  <dcterms:modified xsi:type="dcterms:W3CDTF">2020-01-14T07:36:00Z</dcterms:modified>
</cp:coreProperties>
</file>