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F3D5F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85CF90B" wp14:editId="41CAE24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24FFB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E3354A9" w14:textId="77777777" w:rsidR="00A2037F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5502555F" w14:textId="408696C0" w:rsidR="00A2037F" w:rsidRPr="00732C9F" w:rsidRDefault="00A2037F" w:rsidP="00A2037F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C408B3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12 lipca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2021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4CF20E07" w14:textId="5807672E" w:rsidR="00E96E87" w:rsidRDefault="00A2037F" w:rsidP="00C36ED7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ATAL</w:t>
      </w:r>
      <w:r w:rsidR="00C408B3">
        <w:rPr>
          <w:rFonts w:ascii="Calibri" w:eastAsia="Calibri" w:hAnsi="Calibri" w:cs="Calibri"/>
          <w:b/>
          <w:bCs/>
          <w:sz w:val="48"/>
          <w:szCs w:val="48"/>
        </w:rPr>
        <w:t>: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  <w:r w:rsidR="00C408B3">
        <w:rPr>
          <w:rFonts w:ascii="Calibri" w:eastAsia="Calibri" w:hAnsi="Calibri" w:cs="Calibri"/>
          <w:b/>
          <w:bCs/>
          <w:sz w:val="48"/>
          <w:szCs w:val="48"/>
        </w:rPr>
        <w:t>aktualizacja sprzedaży i wydań w H1 2021</w:t>
      </w:r>
    </w:p>
    <w:p w14:paraId="75ACF836" w14:textId="77777777" w:rsidR="00C36ED7" w:rsidRPr="00C408B3" w:rsidRDefault="00C36ED7" w:rsidP="00C408B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1789C417" w14:textId="77777777" w:rsidR="00C408B3" w:rsidRPr="00C408B3" w:rsidRDefault="00A2037F" w:rsidP="00C408B3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C40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zakontraktował od stycznia do czerwca</w:t>
      </w:r>
      <w:r w:rsidR="00C408B3" w:rsidRPr="00C40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2</w:t>
      </w:r>
      <w:r w:rsidR="00C40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C408B3" w:rsidRPr="00C40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070 </w:t>
      </w:r>
      <w:r w:rsidR="00C40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mieszkań </w:t>
      </w:r>
      <w:r w:rsidR="00C408B3" w:rsidRPr="00C40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i przekazał klientom 1</w:t>
      </w:r>
      <w:r w:rsidR="00C40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C408B3" w:rsidRPr="00C40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650 lokali</w:t>
      </w:r>
      <w:r w:rsidR="00C40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</w:t>
      </w:r>
      <w:r w:rsidR="00C408B3" w:rsidRPr="00C40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Wstępne dane za H1 2021 wskazywały na sprzedaż 2 044 mieszkań oraz 1 639 przekazań.</w:t>
      </w:r>
    </w:p>
    <w:p w14:paraId="68F2EC10" w14:textId="5C7D417C" w:rsidR="00C408B3" w:rsidRDefault="00C408B3" w:rsidP="00C408B3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C40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Według ostatecznych danych najwięcej lokali zostało wydanych w Warszawie (481), Łodzi (282), Poznaniu (255) a następnie we Wrocławiu (230), Krakowie (215), Katowicach (179) i Trójmieście (8). </w:t>
      </w:r>
    </w:p>
    <w:p w14:paraId="33BC12FA" w14:textId="3EBF7191" w:rsidR="00C408B3" w:rsidRPr="00C408B3" w:rsidRDefault="00C408B3" w:rsidP="00C408B3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C40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Spółka podpisała następują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cą liczbę umów </w:t>
      </w:r>
      <w:r w:rsidRPr="00C40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deweloperskich i przedwstępnych: w kwietniu 413, w maju 382, a w czerwcu 428.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732C9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Łącznie w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Pr="00C40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drugim kwartale br.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s</w:t>
      </w:r>
      <w:r w:rsidRPr="00C40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półka sprzedała 1 223 mieszkania.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Pr="00C40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Grupa posiadała na koniec II kwartału 2021 roku 781 aktywnych umów rezerwacyjnych.</w:t>
      </w:r>
    </w:p>
    <w:p w14:paraId="667562D0" w14:textId="77777777" w:rsidR="00C36ED7" w:rsidRPr="00C36ED7" w:rsidRDefault="00C36ED7" w:rsidP="00C36ED7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C36ED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dniu 30 czerwca br. Walne Zgromadzenie Akcjonariuszy ATAL zatwierdziło wypłatę dywidendy w wysokości 80% zeszłorocznego zysku netto jednostki dominującej. Oznacza to, że do akcjonariuszy trafi 117,3 mln złotych, czyli 3,03 zł na akcję. Pozostałą część wypracowanego zysku – 28,4 mln zł – zasili kapitał zapasowy. Dzień dywidendy ustalono na 7 lipca, a termin wypłaty na 15 lipca br. Od początku obecności ATAL na GPW łączna kwota wypłaconej dywidendy to 524 mln zł.</w:t>
      </w:r>
    </w:p>
    <w:p w14:paraId="033ACF1D" w14:textId="77777777" w:rsidR="0007306F" w:rsidRPr="004D5B73" w:rsidRDefault="0007306F" w:rsidP="0007306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239A2">
        <w:rPr>
          <w:rFonts w:asciiTheme="majorHAnsi" w:hAnsiTheme="majorHAnsi" w:cstheme="majorHAnsi"/>
          <w:sz w:val="22"/>
          <w:szCs w:val="22"/>
        </w:rPr>
        <w:t>ATAL jest spółką dywidendową. W 2016 roku została wypłacona dywidenda w wysokości 0,61 zł na akcję, co łącznie dało kwotę 23,</w:t>
      </w:r>
      <w:r>
        <w:rPr>
          <w:rFonts w:asciiTheme="majorHAnsi" w:hAnsiTheme="majorHAnsi" w:cstheme="majorHAnsi"/>
          <w:sz w:val="22"/>
          <w:szCs w:val="22"/>
        </w:rPr>
        <w:t>7</w:t>
      </w:r>
      <w:r w:rsidRPr="002239A2">
        <w:rPr>
          <w:rFonts w:asciiTheme="majorHAnsi" w:hAnsiTheme="majorHAnsi" w:cstheme="majorHAnsi"/>
          <w:sz w:val="22"/>
          <w:szCs w:val="22"/>
        </w:rPr>
        <w:t xml:space="preserve"> mln zł. Dywidenda wyniosła wówczas </w:t>
      </w:r>
      <w:r>
        <w:rPr>
          <w:rFonts w:asciiTheme="majorHAnsi" w:hAnsiTheme="majorHAnsi" w:cstheme="majorHAnsi"/>
          <w:sz w:val="22"/>
          <w:szCs w:val="22"/>
        </w:rPr>
        <w:t xml:space="preserve">ok. </w:t>
      </w:r>
      <w:r w:rsidRPr="002239A2">
        <w:rPr>
          <w:rFonts w:asciiTheme="majorHAnsi" w:hAnsiTheme="majorHAnsi" w:cstheme="majorHAnsi"/>
          <w:sz w:val="22"/>
          <w:szCs w:val="22"/>
        </w:rPr>
        <w:t xml:space="preserve">50% zysku netto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2015 roku. W 2017 roku ATAL wypłacił akcjonariuszom 1,68 zł na akcję, czyli ok. 65 mln zł – co stanowiło </w:t>
      </w:r>
      <w:r>
        <w:rPr>
          <w:rFonts w:asciiTheme="majorHAnsi" w:hAnsiTheme="majorHAnsi" w:cstheme="majorHAnsi"/>
          <w:sz w:val="22"/>
          <w:szCs w:val="22"/>
        </w:rPr>
        <w:t>ok. 55</w:t>
      </w:r>
      <w:r w:rsidRPr="002239A2">
        <w:rPr>
          <w:rFonts w:asciiTheme="majorHAnsi" w:hAnsiTheme="majorHAnsi" w:cstheme="majorHAnsi"/>
          <w:sz w:val="22"/>
          <w:szCs w:val="22"/>
        </w:rPr>
        <w:t>% zysku netto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2016 roku. W 2018 roku spółka wypłaciła akcjonariuszom 137 mln zł (3,54 zł na akcję), czyli </w:t>
      </w:r>
      <w:r>
        <w:rPr>
          <w:rFonts w:asciiTheme="majorHAnsi" w:hAnsiTheme="majorHAnsi" w:cstheme="majorHAnsi"/>
          <w:sz w:val="22"/>
          <w:szCs w:val="22"/>
        </w:rPr>
        <w:t xml:space="preserve">ponad </w:t>
      </w:r>
      <w:r w:rsidRPr="002239A2">
        <w:rPr>
          <w:rFonts w:asciiTheme="majorHAnsi" w:hAnsiTheme="majorHAnsi" w:cstheme="majorHAnsi"/>
          <w:sz w:val="22"/>
          <w:szCs w:val="22"/>
        </w:rPr>
        <w:t>80% zysku jednostki dominującej z 2017 roku.</w:t>
      </w:r>
      <w:r>
        <w:rPr>
          <w:rFonts w:asciiTheme="majorHAnsi" w:hAnsiTheme="majorHAnsi" w:cstheme="majorHAnsi"/>
          <w:sz w:val="22"/>
          <w:szCs w:val="22"/>
        </w:rPr>
        <w:t xml:space="preserve"> W 2019 roku spółka wypłaciła rekordową dywidendę w wysokości ok. 182 mln zł (4,70zł na akcję), co stanowiło 100%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2239A2">
        <w:rPr>
          <w:rFonts w:asciiTheme="majorHAnsi" w:hAnsiTheme="majorHAnsi" w:cstheme="majorHAnsi"/>
          <w:sz w:val="22"/>
          <w:szCs w:val="22"/>
        </w:rPr>
        <w:t xml:space="preserve"> roku</w:t>
      </w:r>
      <w:r>
        <w:rPr>
          <w:rFonts w:asciiTheme="majorHAnsi" w:hAnsiTheme="majorHAnsi" w:cstheme="majorHAnsi"/>
          <w:sz w:val="22"/>
          <w:szCs w:val="22"/>
        </w:rPr>
        <w:t>. W zeszłym roku jednorazowo zmieniono politykę dywidendy ze względu na sytuację związaną z pandemią koronawirusa.</w:t>
      </w:r>
    </w:p>
    <w:p w14:paraId="067A115C" w14:textId="77777777" w:rsidR="00C36ED7" w:rsidRPr="004D5B73" w:rsidRDefault="00C36ED7" w:rsidP="00C36ED7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4D5B7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ATAL w pierwszym kwartale 2021 roku wygenerował skonsolidowane przychody na poziomie aż 287,37 mln zł. To wynik o 55% wyższy niż przed rokiem. W tym okresie sprawozdawczym wynik netto przypisany akcjonariuszom jednostki dominującej wyniósł 48,50 mln zł – wzrost o 117% rdr. Marża brutto ze sprzedaży od stycznia do marca wyniosła 22,8%. Marża netto wyniosła zaś 16,9%. Potencjał przekazań na ten rok wynosi nawet do 4 tys. mieszkań. Tegoroczny poziom sprzedaży też może wynieść ok. 4 tys. lokali.</w:t>
      </w:r>
    </w:p>
    <w:p w14:paraId="48E8D55A" w14:textId="274DA926" w:rsidR="00C36ED7" w:rsidRDefault="00C36ED7" w:rsidP="00A2037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54108">
        <w:rPr>
          <w:rFonts w:asciiTheme="majorHAnsi" w:hAnsiTheme="majorHAnsi" w:cstheme="majorHAnsi"/>
          <w:sz w:val="22"/>
          <w:szCs w:val="22"/>
        </w:rPr>
        <w:t xml:space="preserve">W </w:t>
      </w:r>
      <w:r>
        <w:rPr>
          <w:rFonts w:asciiTheme="majorHAnsi" w:hAnsiTheme="majorHAnsi" w:cstheme="majorHAnsi"/>
          <w:sz w:val="22"/>
          <w:szCs w:val="22"/>
        </w:rPr>
        <w:t xml:space="preserve">I kw. </w:t>
      </w:r>
      <w:r w:rsidRPr="00254108">
        <w:rPr>
          <w:rFonts w:asciiTheme="majorHAnsi" w:hAnsiTheme="majorHAnsi" w:cstheme="majorHAnsi"/>
          <w:sz w:val="22"/>
          <w:szCs w:val="22"/>
        </w:rPr>
        <w:t>202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254108">
        <w:rPr>
          <w:rFonts w:asciiTheme="majorHAnsi" w:hAnsiTheme="majorHAnsi" w:cstheme="majorHAnsi"/>
          <w:sz w:val="22"/>
          <w:szCs w:val="22"/>
        </w:rPr>
        <w:t xml:space="preserve"> roku ATAL pozyskał </w:t>
      </w:r>
      <w:r w:rsidRPr="00A25007">
        <w:rPr>
          <w:rFonts w:asciiTheme="majorHAnsi" w:hAnsiTheme="majorHAnsi" w:cstheme="majorHAnsi"/>
          <w:sz w:val="22"/>
          <w:szCs w:val="22"/>
        </w:rPr>
        <w:t xml:space="preserve">2 nowe grunty inwestycyjne w Katowicach i Poznaniu. </w:t>
      </w:r>
      <w:r w:rsidRPr="00786CF6">
        <w:rPr>
          <w:rFonts w:asciiTheme="majorHAnsi" w:hAnsiTheme="majorHAnsi" w:cstheme="majorHAnsi"/>
          <w:sz w:val="22"/>
          <w:szCs w:val="22"/>
        </w:rPr>
        <w:t xml:space="preserve">Łączny koszt zakup nowych działek to ok. 52 mln zł, w przeliczeniu na 1 mkw. PUM to </w:t>
      </w:r>
      <w:r w:rsidRPr="00A25007">
        <w:rPr>
          <w:rFonts w:asciiTheme="majorHAnsi" w:hAnsiTheme="majorHAnsi" w:cstheme="majorHAnsi"/>
          <w:sz w:val="22"/>
          <w:szCs w:val="22"/>
        </w:rPr>
        <w:t xml:space="preserve">648 złotych, co </w:t>
      </w:r>
      <w:r>
        <w:rPr>
          <w:rFonts w:asciiTheme="majorHAnsi" w:hAnsiTheme="majorHAnsi" w:cstheme="majorHAnsi"/>
          <w:sz w:val="22"/>
          <w:szCs w:val="22"/>
        </w:rPr>
        <w:t xml:space="preserve">jest </w:t>
      </w:r>
      <w:r w:rsidRPr="00A25007">
        <w:rPr>
          <w:rFonts w:asciiTheme="majorHAnsi" w:hAnsiTheme="majorHAnsi" w:cstheme="majorHAnsi"/>
          <w:sz w:val="22"/>
          <w:szCs w:val="22"/>
        </w:rPr>
        <w:t>potwierdz</w:t>
      </w:r>
      <w:r>
        <w:rPr>
          <w:rFonts w:asciiTheme="majorHAnsi" w:hAnsiTheme="majorHAnsi" w:cstheme="majorHAnsi"/>
          <w:sz w:val="22"/>
          <w:szCs w:val="22"/>
        </w:rPr>
        <w:t>eniem</w:t>
      </w:r>
      <w:r w:rsidRPr="00A25007">
        <w:rPr>
          <w:rFonts w:asciiTheme="majorHAnsi" w:hAnsiTheme="majorHAnsi" w:cstheme="majorHAnsi"/>
          <w:sz w:val="22"/>
          <w:szCs w:val="22"/>
        </w:rPr>
        <w:t xml:space="preserve"> realizacj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A25007">
        <w:rPr>
          <w:rFonts w:asciiTheme="majorHAnsi" w:hAnsiTheme="majorHAnsi" w:cstheme="majorHAnsi"/>
          <w:sz w:val="22"/>
          <w:szCs w:val="22"/>
        </w:rPr>
        <w:t xml:space="preserve"> racjonalnej polityki zakupu działek pod inwestycje. </w:t>
      </w:r>
      <w:r>
        <w:rPr>
          <w:rFonts w:asciiTheme="majorHAnsi" w:hAnsiTheme="majorHAnsi" w:cstheme="majorHAnsi"/>
          <w:sz w:val="22"/>
          <w:szCs w:val="22"/>
        </w:rPr>
        <w:t>Zakupione t</w:t>
      </w:r>
      <w:r w:rsidRPr="00A25007">
        <w:rPr>
          <w:rFonts w:asciiTheme="majorHAnsi" w:hAnsiTheme="majorHAnsi" w:cstheme="majorHAnsi"/>
          <w:sz w:val="22"/>
          <w:szCs w:val="22"/>
        </w:rPr>
        <w:t>ereny pozwolą na realizację 80 tys. mkw. PUM.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54108">
        <w:rPr>
          <w:rFonts w:asciiTheme="majorHAnsi" w:hAnsiTheme="majorHAnsi" w:cstheme="majorHAnsi"/>
          <w:sz w:val="22"/>
          <w:szCs w:val="22"/>
        </w:rPr>
        <w:t xml:space="preserve">Obecny bank ziemi w posiadaniu spółki </w:t>
      </w:r>
      <w:r>
        <w:rPr>
          <w:rFonts w:asciiTheme="majorHAnsi" w:hAnsiTheme="majorHAnsi" w:cstheme="majorHAnsi"/>
          <w:sz w:val="22"/>
          <w:szCs w:val="22"/>
        </w:rPr>
        <w:t xml:space="preserve">obejmuje ponad milion mkw. PUM, co </w:t>
      </w:r>
      <w:r w:rsidRPr="00254108">
        <w:rPr>
          <w:rFonts w:asciiTheme="majorHAnsi" w:hAnsiTheme="majorHAnsi" w:cstheme="majorHAnsi"/>
          <w:sz w:val="22"/>
          <w:szCs w:val="22"/>
        </w:rPr>
        <w:t>w pełni zabezpiecza plany inwestycyjne spółki na najbliższe lata.</w:t>
      </w:r>
    </w:p>
    <w:p w14:paraId="0E3C32AC" w14:textId="77777777" w:rsidR="00A2037F" w:rsidRPr="00991150" w:rsidRDefault="00A2037F" w:rsidP="00A2037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3670A4C9" w14:textId="77777777" w:rsidR="00A2037F" w:rsidRPr="004009C7" w:rsidRDefault="00A2037F" w:rsidP="00A2037F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lastRenderedPageBreak/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1A6E849E" w14:textId="77777777" w:rsidR="00A2037F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7BAD9117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335C834F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1CE273D2" w14:textId="77777777" w:rsidR="00A2037F" w:rsidRPr="00BB7A50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30E44819" w14:textId="77777777" w:rsidR="00C36ED7" w:rsidRPr="004009C7" w:rsidRDefault="00C36ED7" w:rsidP="00C36ED7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40AEB203" w14:textId="77777777" w:rsidR="00C36ED7" w:rsidRPr="004009C7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08EFE925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sz w:val="20"/>
          <w:szCs w:val="20"/>
          <w:shd w:val="clear" w:color="auto" w:fill="FFFFFF"/>
          <w:lang w:val="en-US" w:eastAsia="ar-SA"/>
        </w:rPr>
        <w:t>PR Manager</w:t>
      </w:r>
    </w:p>
    <w:p w14:paraId="76CFF1ED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228107DC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4B175904" w14:textId="77777777" w:rsidR="00C36ED7" w:rsidRDefault="00C36ED7" w:rsidP="00C36ED7">
      <w:pPr>
        <w:suppressAutoHyphens/>
        <w:spacing w:line="240" w:lineRule="auto"/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02BD2CF9" w14:textId="77777777" w:rsidR="00A2037F" w:rsidRPr="00432AAE" w:rsidRDefault="00A2037F" w:rsidP="00A2037F">
      <w:pPr>
        <w:spacing w:line="240" w:lineRule="auto"/>
        <w:rPr>
          <w:rFonts w:asciiTheme="majorHAnsi" w:hAnsiTheme="majorHAnsi" w:cstheme="majorHAnsi"/>
        </w:rPr>
      </w:pPr>
    </w:p>
    <w:p w14:paraId="2E72F8BE" w14:textId="77777777" w:rsidR="00A2037F" w:rsidRPr="00677427" w:rsidRDefault="00A2037F" w:rsidP="00A2037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ar-SA"/>
        </w:rPr>
      </w:pPr>
    </w:p>
    <w:p w14:paraId="0BBD51EB" w14:textId="77777777" w:rsidR="00A2037F" w:rsidRDefault="00A2037F" w:rsidP="00A2037F"/>
    <w:p w14:paraId="78FC5406" w14:textId="77777777" w:rsidR="00A2037F" w:rsidRDefault="00A2037F" w:rsidP="00A2037F"/>
    <w:p w14:paraId="0330581B" w14:textId="77777777" w:rsidR="00A2037F" w:rsidRDefault="00A2037F" w:rsidP="00A2037F"/>
    <w:p w14:paraId="70B0A2E7" w14:textId="77777777" w:rsidR="00A2037F" w:rsidRPr="00D90B98" w:rsidRDefault="00A2037F" w:rsidP="00A2037F"/>
    <w:bookmarkEnd w:id="0"/>
    <w:p w14:paraId="4366605F" w14:textId="77777777" w:rsidR="00A2037F" w:rsidRDefault="00A2037F" w:rsidP="00A2037F"/>
    <w:p w14:paraId="498BEF02" w14:textId="77777777" w:rsidR="00A2037F" w:rsidRDefault="00A2037F" w:rsidP="00A2037F"/>
    <w:p w14:paraId="70E99243" w14:textId="77777777" w:rsidR="0080615A" w:rsidRDefault="0080615A"/>
    <w:sectPr w:rsidR="0080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7306F"/>
    <w:rsid w:val="00183A23"/>
    <w:rsid w:val="00254108"/>
    <w:rsid w:val="002763F7"/>
    <w:rsid w:val="002926D9"/>
    <w:rsid w:val="00363B72"/>
    <w:rsid w:val="003E5B55"/>
    <w:rsid w:val="00422EDD"/>
    <w:rsid w:val="00625460"/>
    <w:rsid w:val="006725EC"/>
    <w:rsid w:val="006A6B5F"/>
    <w:rsid w:val="00732C9F"/>
    <w:rsid w:val="00747CF7"/>
    <w:rsid w:val="00776275"/>
    <w:rsid w:val="00801B9D"/>
    <w:rsid w:val="0080615A"/>
    <w:rsid w:val="008565A4"/>
    <w:rsid w:val="008C4935"/>
    <w:rsid w:val="008C4AA0"/>
    <w:rsid w:val="009876A4"/>
    <w:rsid w:val="00A2037F"/>
    <w:rsid w:val="00A703B1"/>
    <w:rsid w:val="00A81724"/>
    <w:rsid w:val="00B378CF"/>
    <w:rsid w:val="00BD3E25"/>
    <w:rsid w:val="00C36ED7"/>
    <w:rsid w:val="00C408B3"/>
    <w:rsid w:val="00DB0074"/>
    <w:rsid w:val="00E96E87"/>
    <w:rsid w:val="00FA66F1"/>
    <w:rsid w:val="00FE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3</cp:revision>
  <dcterms:created xsi:type="dcterms:W3CDTF">2021-07-12T08:26:00Z</dcterms:created>
  <dcterms:modified xsi:type="dcterms:W3CDTF">2021-07-12T08:56:00Z</dcterms:modified>
</cp:coreProperties>
</file>