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D5F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5CF90B" wp14:editId="41CAE24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24FFB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BB0BFA4" w14:textId="54E40E5E" w:rsidR="00FE0F75" w:rsidRDefault="00A2037F" w:rsidP="00A2037F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1A6F4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8 września</w:t>
      </w:r>
      <w:r w:rsidR="007548B3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1E139A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2E9EE35" w14:textId="2A571B12" w:rsidR="00FE0F75" w:rsidRDefault="00F94F75" w:rsidP="009E348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Grupa </w:t>
      </w:r>
      <w:r w:rsidR="003E4E15">
        <w:rPr>
          <w:rFonts w:ascii="Calibri" w:eastAsia="Calibri" w:hAnsi="Calibri" w:cs="Calibri"/>
          <w:b/>
          <w:bCs/>
          <w:sz w:val="48"/>
          <w:szCs w:val="48"/>
        </w:rPr>
        <w:t>ATAL</w:t>
      </w:r>
      <w:r w:rsidR="00A0145E"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  <w:r w:rsidR="001A6F49">
        <w:rPr>
          <w:rFonts w:ascii="Calibri" w:eastAsia="Calibri" w:hAnsi="Calibri" w:cs="Calibri"/>
          <w:b/>
          <w:bCs/>
          <w:sz w:val="48"/>
          <w:szCs w:val="48"/>
        </w:rPr>
        <w:t>miała 185 mln zł zysku netto w H1 2022</w:t>
      </w:r>
    </w:p>
    <w:p w14:paraId="3AD18A33" w14:textId="246386C7" w:rsidR="003E4E15" w:rsidRDefault="003E4E15" w:rsidP="003E4E15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Grupa </w:t>
      </w:r>
      <w:r w:rsidRPr="00C5441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softHyphen/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–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ogólnopolski deweloper –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 przekazaniu</w:t>
      </w:r>
      <w:r w:rsidR="0040609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40609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1784</w:t>
      </w:r>
      <w:r w:rsidR="00406098" w:rsidRPr="006640D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lokali mieszkalnych i usługowych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EC31C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pierwszym półroczu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2022, wygenerowała </w:t>
      </w:r>
      <w:r w:rsidR="00F94F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skonsolidowane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przychody na poziomie </w:t>
      </w:r>
      <w:r w:rsidR="00EC31C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875,9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mln zł. Oznacza to wzrost o ponad </w:t>
      </w:r>
      <w:r w:rsidR="00EC31C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34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% rok do roku. Od stycznia do </w:t>
      </w:r>
      <w:r w:rsidR="00F915BA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czerwca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br. Grupa ATAL wypracowała </w:t>
      </w:r>
      <w:r w:rsidR="00F94F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skonsolidowany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zysk netto w wysokości </w:t>
      </w:r>
      <w:r w:rsidR="00EC31C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ponad 185,2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mln zł, czyli</w:t>
      </w:r>
      <w:r w:rsidR="00442CD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EC31C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przeszło 59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% więcej niż w analogicznym okresie 2021 roku.</w:t>
      </w:r>
      <w:r w:rsidR="00365E6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365E63" w:rsidRPr="00A2755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Marża brutto ze sprzedaży w </w:t>
      </w:r>
      <w:r w:rsidR="00DA5FA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H1</w:t>
      </w:r>
      <w:r w:rsidR="00365E63" w:rsidRPr="00A2755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2022 roku wyniosła </w:t>
      </w:r>
      <w:r w:rsidR="00DA5FA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25,9</w:t>
      </w:r>
      <w:r w:rsidR="00365E63" w:rsidRPr="00A2755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%, a marża netto zaś </w:t>
      </w:r>
      <w:r w:rsidR="00DA5FA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21,2</w:t>
      </w:r>
      <w:r w:rsidR="00365E63" w:rsidRPr="00A2755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%.</w:t>
      </w:r>
    </w:p>
    <w:p w14:paraId="1B07EF69" w14:textId="7A236199" w:rsidR="00365E63" w:rsidRDefault="008B6529" w:rsidP="00365E6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Od stycznia do sierpnia 2022</w:t>
      </w:r>
      <w:r w:rsidR="0040609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roku</w:t>
      </w:r>
      <w:r w:rsidR="00365E63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Grupa zawarła łącznie </w:t>
      </w:r>
      <w:r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blisko 1600</w:t>
      </w:r>
      <w:r w:rsidR="00365E63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umów deweloperskich i przedwstępnych. </w:t>
      </w:r>
      <w:r w:rsidR="00DA5FA7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tym okresie zawarła również niemal 1600 umów rezerwacyjnych.</w:t>
      </w:r>
      <w:r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365E63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Tegoroczny potencjał sprzedaży (umowy deweloperskie i przedwstępne) Grupa obecnie szacuje na</w:t>
      </w:r>
      <w:r w:rsidR="00567BE6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ok</w:t>
      </w:r>
      <w:r w:rsidR="007B10F8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365E63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C46E94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</w:t>
      </w:r>
      <w:r w:rsidR="00365E63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 </w:t>
      </w:r>
      <w:r w:rsidR="00C46E94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5</w:t>
      </w:r>
      <w:r w:rsidR="00365E63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00 lokali. Potencjał przekazań natomiast na ok. 3 500 lokali.</w:t>
      </w:r>
    </w:p>
    <w:p w14:paraId="084F6D43" w14:textId="05206C78" w:rsidR="00A27554" w:rsidRDefault="00A0145E" w:rsidP="00A27554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C1D344" wp14:editId="631FDB4A">
                <wp:simplePos x="0" y="0"/>
                <wp:positionH relativeFrom="margin">
                  <wp:posOffset>12700</wp:posOffset>
                </wp:positionH>
                <wp:positionV relativeFrom="paragraph">
                  <wp:posOffset>119380</wp:posOffset>
                </wp:positionV>
                <wp:extent cx="461645" cy="295910"/>
                <wp:effectExtent l="0" t="0" r="0" b="8890"/>
                <wp:wrapNone/>
                <wp:docPr id="1" name="Grup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" name="Strzałka: pagon 2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" name="Strzałka: pagon 4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9C49A" id="Grupa 36" o:spid="_x0000_s1026" style="position:absolute;margin-left:1pt;margin-top:9.4pt;width:36.35pt;height:23.3pt;z-index:251667456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2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YT5vwAAANo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" adj="10800" fillcolor="#ed202f" stroked="f" strokeweight="1pt"/>
                <v:shape id="Strzałka: pagon 4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" adj="10800" fillcolor="#ed202f" stroked="f" strokeweight="1pt"/>
                <w10:wrap anchorx="margin"/>
              </v:group>
            </w:pict>
          </mc:Fallback>
        </mc:AlternateContent>
      </w:r>
    </w:p>
    <w:p w14:paraId="6A1F66B3" w14:textId="1666E9B4" w:rsidR="00A27554" w:rsidRDefault="00A27554" w:rsidP="00A2755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</w:p>
    <w:p w14:paraId="07714875" w14:textId="130CF4D6" w:rsidR="00CE0237" w:rsidRDefault="00775263" w:rsidP="00A2755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Znajdujemy się w</w:t>
      </w:r>
      <w:r w:rsidR="00CE02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wymagającym otoczeniu makroekonomicznym spowodowanym wojną na wschód od Polski, wysoką inflacją, słabnącą aktywnością polskiej gospodarki. Jednak wypracowane przez nas przewagi konkurencyjne, bardzo dobra sytuacja gotówkowa i brak zadłużenia powodują, że możemy rozwijać się w tym trudnym czasie, myśląc już o okresie, gdy koniunktura będzie bardziej sprzyjająca. </w:t>
      </w:r>
    </w:p>
    <w:p w14:paraId="25D56829" w14:textId="1EA6127F" w:rsidR="00CE0237" w:rsidRDefault="00CE0237" w:rsidP="00A2755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Nie hamujemy inwestycji, prowadzimy ok. 40 projektów deweloperskich w 7 największych aglomeracjach w Polsce i wprowadzamy do oferty kolejne inwestycje zgodnie z naszym wewnętrznym harmonogramem. W pierwszej połowie roku zakupiliśmy </w:t>
      </w:r>
      <w:r w:rsidR="00567BE6" w:rsidRPr="007B10F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9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nowych gruntów</w:t>
      </w:r>
      <w:r w:rsidR="00C46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za ok. </w:t>
      </w:r>
      <w:r w:rsidR="00567BE6" w:rsidRPr="007B10F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269</w:t>
      </w:r>
      <w:r w:rsidR="00C46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mln zł. Obecna sytuacja sprzyja skupowi atrakcyjnych działek, których ceny wyraźnie się urealniły.</w:t>
      </w:r>
    </w:p>
    <w:p w14:paraId="7EC855F7" w14:textId="1735C5A6" w:rsidR="00C46E94" w:rsidRPr="00A27554" w:rsidRDefault="00CE0237" w:rsidP="00A2755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Tegoroczna sprzedaż powinna oscylować </w:t>
      </w:r>
      <w:r w:rsidR="00567BE6" w:rsidRPr="007B10F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ok</w:t>
      </w:r>
      <w:r w:rsidR="007B10F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.</w:t>
      </w:r>
      <w:r w:rsidRPr="00CE02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7B10F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2,5</w:t>
      </w:r>
      <w:r w:rsidR="007B10F8" w:rsidRPr="007B10F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7B10F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tys</w:t>
      </w:r>
      <w:r w:rsidRPr="00567BE6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. </w:t>
      </w:r>
      <w:r w:rsidRPr="00CE02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mieszkań, co i tak będzie satysfakcjonującym wynikiem. Na to jesteśmy przygotowani. </w:t>
      </w:r>
      <w:r w:rsidR="00C46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Nie zwalniamy z naszymi</w:t>
      </w:r>
      <w:r w:rsidRPr="00CE02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inwestycj</w:t>
      </w:r>
      <w:r w:rsidR="00C46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ami</w:t>
      </w:r>
      <w:r w:rsidRPr="00CE02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, niezależnie od tempa sprzedaży. </w:t>
      </w:r>
      <w:r w:rsidR="00C46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Jesteśmy też gotowi na to, że może się okazać, iż</w:t>
      </w:r>
      <w:r w:rsidRPr="00CE02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będziemy mieć na końcu </w:t>
      </w:r>
      <w:r w:rsidR="00C46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roku </w:t>
      </w:r>
      <w:r w:rsidRPr="00CE02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jakąś część niesprzedanych lokali. Zapas</w:t>
      </w:r>
      <w:r w:rsidR="00C46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y mogą</w:t>
      </w:r>
      <w:r w:rsidRPr="00CE02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nam r</w:t>
      </w:r>
      <w:r w:rsidR="00C46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osnąć</w:t>
      </w:r>
      <w:r w:rsidRPr="00CE02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, ale jesteśmy w tak dobrej kondycji, że to </w:t>
      </w:r>
      <w:r w:rsidR="00C46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nie stanowi dla nas zagrożenia</w:t>
      </w:r>
      <w:r w:rsidRPr="00CE02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. Liczymy na lepszą sprzedaż za rok i będziemy ją prowadzić </w:t>
      </w:r>
      <w:r w:rsidR="00C46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częściowo </w:t>
      </w:r>
      <w:r w:rsidRPr="00CE02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z </w:t>
      </w:r>
      <w:r w:rsidR="00C46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zapasów, czyli mieszkań z zakończonych projektów</w:t>
      </w:r>
    </w:p>
    <w:p w14:paraId="7A12A0AA" w14:textId="438EF712" w:rsidR="00A27554" w:rsidRDefault="00A27554" w:rsidP="00A27554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zarządu ATAL SA.</w:t>
      </w:r>
      <w:r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37AAA08E" w14:textId="5EA93E76" w:rsidR="00A27554" w:rsidRPr="000F7104" w:rsidRDefault="00B26C09" w:rsidP="00A27554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D1422C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335346" wp14:editId="35DCD8C0">
                <wp:simplePos x="0" y="0"/>
                <wp:positionH relativeFrom="margin">
                  <wp:posOffset>5273675</wp:posOffset>
                </wp:positionH>
                <wp:positionV relativeFrom="paragraph">
                  <wp:posOffset>45720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4" name="Strzałka: pagon 14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5" name="Strzałka: pagon 15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98454" id="Grupa 16" o:spid="_x0000_s1026" style="position:absolute;margin-left:415.25pt;margin-top:3.6pt;width:36.35pt;height:23.3pt;z-index:251665408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">
                <v:shape id="Strzałka: pagon 14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84wAAAANsAAAAPAAAAZHJzL2Rvd25yZXYueG1sRE9Ni8Iw&#10;EL0L/ocwgjdNXWT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faAvOMAAAADbAAAADwAAAAAA&#10;AAAAAAAAAAAHAgAAZHJzL2Rvd25yZXYueG1sUEsFBgAAAAADAAMAtwAAAPQCAAAAAA==&#10;" adj="10800" fillcolor="#ed202f" stroked="f" strokeweight="1pt"/>
                <v:shape id="Strzałka: pagon 15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qjwAAAANsAAAAPAAAAZHJzL2Rvd25yZXYueG1sRE9Ni8Iw&#10;EL0L/ocwgjdNXXD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EuyKo8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</w:p>
    <w:p w14:paraId="22BEFD6E" w14:textId="77777777" w:rsidR="006C11A9" w:rsidRDefault="006C11A9" w:rsidP="0007306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33ACF1D" w14:textId="0B62D083" w:rsidR="0007306F" w:rsidRDefault="0007306F" w:rsidP="0007306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39A2">
        <w:rPr>
          <w:rFonts w:asciiTheme="majorHAnsi" w:hAnsiTheme="majorHAnsi" w:cstheme="majorHAnsi"/>
          <w:sz w:val="22"/>
          <w:szCs w:val="22"/>
        </w:rPr>
        <w:t>ATAL jest spółką dywidendową. W 2016 roku została wypłacona dywidenda w wysokości 0,61 zł na akcję, co łącznie dało kwotę 23,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2239A2">
        <w:rPr>
          <w:rFonts w:asciiTheme="majorHAnsi" w:hAnsiTheme="majorHAnsi" w:cstheme="majorHAnsi"/>
          <w:sz w:val="22"/>
          <w:szCs w:val="22"/>
        </w:rPr>
        <w:t xml:space="preserve"> mln zł. Dywidenda wyniosła wówczas </w:t>
      </w:r>
      <w:r>
        <w:rPr>
          <w:rFonts w:asciiTheme="majorHAnsi" w:hAnsiTheme="majorHAnsi" w:cstheme="majorHAnsi"/>
          <w:sz w:val="22"/>
          <w:szCs w:val="22"/>
        </w:rPr>
        <w:t xml:space="preserve">ok. </w:t>
      </w:r>
      <w:r w:rsidR="003B489F" w:rsidRPr="00B43BA4">
        <w:rPr>
          <w:rFonts w:asciiTheme="majorHAnsi" w:hAnsiTheme="majorHAnsi" w:cstheme="majorHAnsi"/>
          <w:sz w:val="22"/>
          <w:szCs w:val="22"/>
        </w:rPr>
        <w:t>48%</w:t>
      </w:r>
      <w:r w:rsidRPr="002239A2">
        <w:rPr>
          <w:rFonts w:asciiTheme="majorHAnsi" w:hAnsiTheme="majorHAnsi" w:cstheme="majorHAnsi"/>
          <w:sz w:val="22"/>
          <w:szCs w:val="22"/>
        </w:rPr>
        <w:t xml:space="preserve"> zysku netto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2015 roku. W 2017 roku ATAL wypłacił akcjonariuszom 1,68 zł na akcję, czyli ok. 65 mln </w:t>
      </w:r>
      <w:r w:rsidRPr="002239A2">
        <w:rPr>
          <w:rFonts w:asciiTheme="majorHAnsi" w:hAnsiTheme="majorHAnsi" w:cstheme="majorHAnsi"/>
          <w:sz w:val="22"/>
          <w:szCs w:val="22"/>
        </w:rPr>
        <w:lastRenderedPageBreak/>
        <w:t xml:space="preserve">zł – co stanowiło </w:t>
      </w:r>
      <w:r>
        <w:rPr>
          <w:rFonts w:asciiTheme="majorHAnsi" w:hAnsiTheme="majorHAnsi" w:cstheme="majorHAnsi"/>
          <w:sz w:val="22"/>
          <w:szCs w:val="22"/>
        </w:rPr>
        <w:t>ok. 55</w:t>
      </w:r>
      <w:r w:rsidRPr="002239A2">
        <w:rPr>
          <w:rFonts w:asciiTheme="majorHAnsi" w:hAnsiTheme="majorHAnsi" w:cstheme="majorHAnsi"/>
          <w:sz w:val="22"/>
          <w:szCs w:val="22"/>
        </w:rPr>
        <w:t>% zysku netto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2016 roku. W 2018 roku spółka wypłaciła akcjonariuszom 137 mln zł (3,54 zł na akcję), czyli </w:t>
      </w:r>
      <w:r w:rsidR="003B489F" w:rsidRPr="00B43BA4">
        <w:rPr>
          <w:rFonts w:asciiTheme="majorHAnsi" w:hAnsiTheme="majorHAnsi" w:cstheme="majorHAnsi"/>
          <w:sz w:val="22"/>
          <w:szCs w:val="22"/>
        </w:rPr>
        <w:t>prawie  84%</w:t>
      </w:r>
      <w:r w:rsidR="003B489F">
        <w:rPr>
          <w:rFonts w:asciiTheme="majorHAnsi" w:hAnsiTheme="majorHAnsi" w:cstheme="majorHAnsi"/>
          <w:sz w:val="22"/>
          <w:szCs w:val="22"/>
        </w:rPr>
        <w:t xml:space="preserve">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2017 roku.</w:t>
      </w:r>
      <w:r>
        <w:rPr>
          <w:rFonts w:asciiTheme="majorHAnsi" w:hAnsiTheme="majorHAnsi" w:cstheme="majorHAnsi"/>
          <w:sz w:val="22"/>
          <w:szCs w:val="22"/>
        </w:rPr>
        <w:t xml:space="preserve"> W 2019 roku spółka wypłaciła rekordową dywidendę w wysokości ok. 182 mln zł (4,70zł na akcję), co stanowiło 100%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2239A2">
        <w:rPr>
          <w:rFonts w:asciiTheme="majorHAnsi" w:hAnsiTheme="majorHAnsi" w:cstheme="majorHAnsi"/>
          <w:sz w:val="22"/>
          <w:szCs w:val="22"/>
        </w:rPr>
        <w:t xml:space="preserve"> roku</w:t>
      </w:r>
      <w:r>
        <w:rPr>
          <w:rFonts w:asciiTheme="majorHAnsi" w:hAnsiTheme="majorHAnsi" w:cstheme="majorHAnsi"/>
          <w:sz w:val="22"/>
          <w:szCs w:val="22"/>
        </w:rPr>
        <w:t xml:space="preserve">. W </w:t>
      </w:r>
      <w:r w:rsidR="009F1ED2">
        <w:rPr>
          <w:rFonts w:asciiTheme="majorHAnsi" w:hAnsiTheme="majorHAnsi" w:cstheme="majorHAnsi"/>
          <w:sz w:val="22"/>
          <w:szCs w:val="22"/>
        </w:rPr>
        <w:t>2020</w:t>
      </w:r>
      <w:r>
        <w:rPr>
          <w:rFonts w:asciiTheme="majorHAnsi" w:hAnsiTheme="majorHAnsi" w:cstheme="majorHAnsi"/>
          <w:sz w:val="22"/>
          <w:szCs w:val="22"/>
        </w:rPr>
        <w:t xml:space="preserve"> roku jednorazowo zmieniono politykę dywidendy ze względu na sytuację związaną z pandemią koronawirusa</w:t>
      </w:r>
      <w:r w:rsidR="009F1ED2">
        <w:rPr>
          <w:rFonts w:asciiTheme="majorHAnsi" w:hAnsiTheme="majorHAnsi" w:cstheme="majorHAnsi"/>
          <w:sz w:val="22"/>
          <w:szCs w:val="22"/>
        </w:rPr>
        <w:t>, zasilając kapitał zakładowy wypracowanym zyskiem</w:t>
      </w:r>
      <w:r>
        <w:rPr>
          <w:rFonts w:asciiTheme="majorHAnsi" w:hAnsiTheme="majorHAnsi" w:cstheme="majorHAnsi"/>
          <w:sz w:val="22"/>
          <w:szCs w:val="22"/>
        </w:rPr>
        <w:t>.</w:t>
      </w:r>
      <w:r w:rsidR="009F1ED2">
        <w:rPr>
          <w:rFonts w:asciiTheme="majorHAnsi" w:hAnsiTheme="majorHAnsi" w:cstheme="majorHAnsi"/>
          <w:sz w:val="22"/>
          <w:szCs w:val="22"/>
        </w:rPr>
        <w:t xml:space="preserve"> </w:t>
      </w:r>
      <w:r w:rsidR="009F1ED2" w:rsidRPr="00B43BA4">
        <w:rPr>
          <w:rFonts w:asciiTheme="majorHAnsi" w:hAnsiTheme="majorHAnsi" w:cstheme="majorHAnsi"/>
          <w:sz w:val="22"/>
          <w:szCs w:val="22"/>
        </w:rPr>
        <w:t xml:space="preserve">W </w:t>
      </w:r>
      <w:r w:rsidR="009F1ED2">
        <w:rPr>
          <w:rFonts w:asciiTheme="majorHAnsi" w:hAnsiTheme="majorHAnsi" w:cstheme="majorHAnsi"/>
          <w:sz w:val="22"/>
          <w:szCs w:val="22"/>
        </w:rPr>
        <w:t>2021 roku spółka</w:t>
      </w:r>
      <w:r w:rsidR="009F1ED2" w:rsidRPr="00B43BA4">
        <w:rPr>
          <w:rFonts w:asciiTheme="majorHAnsi" w:hAnsiTheme="majorHAnsi" w:cstheme="majorHAnsi"/>
          <w:sz w:val="22"/>
          <w:szCs w:val="22"/>
        </w:rPr>
        <w:t xml:space="preserve"> wypłaciła dywidendę w wysokości 80% zysku netto jednostki dominującej</w:t>
      </w:r>
      <w:r w:rsidR="009F1ED2">
        <w:rPr>
          <w:rFonts w:asciiTheme="majorHAnsi" w:hAnsiTheme="majorHAnsi" w:cstheme="majorHAnsi"/>
          <w:sz w:val="22"/>
          <w:szCs w:val="22"/>
        </w:rPr>
        <w:t xml:space="preserve"> z 2020 roku</w:t>
      </w:r>
      <w:r w:rsidR="009F1ED2" w:rsidRPr="00B43BA4">
        <w:rPr>
          <w:rFonts w:asciiTheme="majorHAnsi" w:hAnsiTheme="majorHAnsi" w:cstheme="majorHAnsi"/>
          <w:sz w:val="22"/>
          <w:szCs w:val="22"/>
        </w:rPr>
        <w:t>. Oznacza to, że do akcjonariuszy trafiło 117,3 mln złotych, czyli 3,03 zł na akcję. Pozostała część wypracowanego zysku – 28,4 mln zł – zasiliła kapitał zapasowy.</w:t>
      </w:r>
      <w:r w:rsidR="006C11A9">
        <w:rPr>
          <w:rFonts w:asciiTheme="majorHAnsi" w:hAnsiTheme="majorHAnsi" w:cstheme="majorHAnsi"/>
          <w:sz w:val="22"/>
          <w:szCs w:val="22"/>
        </w:rPr>
        <w:t xml:space="preserve"> </w:t>
      </w:r>
      <w:r w:rsidR="006C11A9" w:rsidRPr="00B43BA4">
        <w:rPr>
          <w:rFonts w:asciiTheme="majorHAnsi" w:hAnsiTheme="majorHAnsi" w:cstheme="majorHAnsi"/>
          <w:sz w:val="22"/>
          <w:szCs w:val="22"/>
        </w:rPr>
        <w:t xml:space="preserve">W </w:t>
      </w:r>
      <w:r w:rsidR="006C11A9">
        <w:rPr>
          <w:rFonts w:asciiTheme="majorHAnsi" w:hAnsiTheme="majorHAnsi" w:cstheme="majorHAnsi"/>
          <w:sz w:val="22"/>
          <w:szCs w:val="22"/>
        </w:rPr>
        <w:t>2022 roku spółka</w:t>
      </w:r>
      <w:r w:rsidR="006C11A9" w:rsidRPr="00B43BA4">
        <w:rPr>
          <w:rFonts w:asciiTheme="majorHAnsi" w:hAnsiTheme="majorHAnsi" w:cstheme="majorHAnsi"/>
          <w:sz w:val="22"/>
          <w:szCs w:val="22"/>
        </w:rPr>
        <w:t xml:space="preserve"> wypłaciła dywidendę w wysokości </w:t>
      </w:r>
      <w:r w:rsidR="008D6321">
        <w:rPr>
          <w:rFonts w:asciiTheme="majorHAnsi" w:hAnsiTheme="majorHAnsi" w:cstheme="majorHAnsi"/>
          <w:sz w:val="22"/>
          <w:szCs w:val="22"/>
        </w:rPr>
        <w:t>70</w:t>
      </w:r>
      <w:r w:rsidR="006C11A9" w:rsidRPr="00B43BA4">
        <w:rPr>
          <w:rFonts w:asciiTheme="majorHAnsi" w:hAnsiTheme="majorHAnsi" w:cstheme="majorHAnsi"/>
          <w:sz w:val="22"/>
          <w:szCs w:val="22"/>
        </w:rPr>
        <w:t>% zysku netto jednostki dominującej</w:t>
      </w:r>
      <w:r w:rsidR="006C11A9">
        <w:rPr>
          <w:rFonts w:asciiTheme="majorHAnsi" w:hAnsiTheme="majorHAnsi" w:cstheme="majorHAnsi"/>
          <w:sz w:val="22"/>
          <w:szCs w:val="22"/>
        </w:rPr>
        <w:t xml:space="preserve"> z 2021 roku</w:t>
      </w:r>
      <w:r w:rsidR="006C11A9" w:rsidRPr="00B43BA4">
        <w:rPr>
          <w:rFonts w:asciiTheme="majorHAnsi" w:hAnsiTheme="majorHAnsi" w:cstheme="majorHAnsi"/>
          <w:sz w:val="22"/>
          <w:szCs w:val="22"/>
        </w:rPr>
        <w:t xml:space="preserve">. Oznacza to, że do akcjonariuszy trafiło </w:t>
      </w:r>
      <w:r w:rsidR="006C11A9">
        <w:rPr>
          <w:rFonts w:asciiTheme="majorHAnsi" w:hAnsiTheme="majorHAnsi" w:cstheme="majorHAnsi"/>
          <w:sz w:val="22"/>
          <w:szCs w:val="22"/>
        </w:rPr>
        <w:t>232</w:t>
      </w:r>
      <w:r w:rsidR="006C11A9" w:rsidRPr="00B43BA4">
        <w:rPr>
          <w:rFonts w:asciiTheme="majorHAnsi" w:hAnsiTheme="majorHAnsi" w:cstheme="majorHAnsi"/>
          <w:sz w:val="22"/>
          <w:szCs w:val="22"/>
        </w:rPr>
        <w:t xml:space="preserve"> mln złotych, czyli </w:t>
      </w:r>
      <w:r w:rsidR="006C11A9">
        <w:rPr>
          <w:rFonts w:asciiTheme="majorHAnsi" w:hAnsiTheme="majorHAnsi" w:cstheme="majorHAnsi"/>
          <w:sz w:val="22"/>
          <w:szCs w:val="22"/>
        </w:rPr>
        <w:t>6,00</w:t>
      </w:r>
      <w:r w:rsidR="006C11A9" w:rsidRPr="00B43BA4">
        <w:rPr>
          <w:rFonts w:asciiTheme="majorHAnsi" w:hAnsiTheme="majorHAnsi" w:cstheme="majorHAnsi"/>
          <w:sz w:val="22"/>
          <w:szCs w:val="22"/>
        </w:rPr>
        <w:t xml:space="preserve"> zł na akcję. Pozostała część wypracowanego zysku – </w:t>
      </w:r>
      <w:r w:rsidR="008D6321">
        <w:rPr>
          <w:rFonts w:asciiTheme="majorHAnsi" w:hAnsiTheme="majorHAnsi" w:cstheme="majorHAnsi"/>
          <w:sz w:val="22"/>
          <w:szCs w:val="22"/>
        </w:rPr>
        <w:t>blisko 101</w:t>
      </w:r>
      <w:r w:rsidR="006C11A9" w:rsidRPr="00B43BA4">
        <w:rPr>
          <w:rFonts w:asciiTheme="majorHAnsi" w:hAnsiTheme="majorHAnsi" w:cstheme="majorHAnsi"/>
          <w:sz w:val="22"/>
          <w:szCs w:val="22"/>
        </w:rPr>
        <w:t xml:space="preserve"> mln zł – zasiliła kapitał zapasowy.</w:t>
      </w:r>
      <w:r w:rsidR="008B6529" w:rsidRPr="008B6529">
        <w:rPr>
          <w:rFonts w:asciiTheme="majorHAnsi" w:hAnsiTheme="majorHAnsi" w:cstheme="majorHAnsi"/>
          <w:b/>
          <w:bCs/>
          <w:sz w:val="22"/>
          <w:szCs w:val="22"/>
        </w:rPr>
        <w:t xml:space="preserve"> Od debiutu akcji ATAL na GPW w 2015 roku spółka wypłaciła łącznie 756 mln zł zysku w formie dywidendy.</w:t>
      </w:r>
    </w:p>
    <w:p w14:paraId="55F0AC8A" w14:textId="77777777" w:rsidR="006C11A9" w:rsidRPr="004D5B73" w:rsidRDefault="006C11A9" w:rsidP="0007306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E3C32AC" w14:textId="559B3B46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670A4C9" w14:textId="77777777" w:rsidR="00A2037F" w:rsidRPr="004009C7" w:rsidRDefault="00A2037F" w:rsidP="00A2037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B43BA4" w:rsidRDefault="00C36ED7" w:rsidP="00C36ED7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 informacji udziela:</w:t>
      </w:r>
    </w:p>
    <w:p w14:paraId="76CFF1ED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228107DC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70E99243" w14:textId="7BE20FF9" w:rsidR="0080615A" w:rsidRDefault="00C36ED7" w:rsidP="00B43BA4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0"/>
    </w:p>
    <w:sectPr w:rsidR="0080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7306F"/>
    <w:rsid w:val="00091D01"/>
    <w:rsid w:val="000964E6"/>
    <w:rsid w:val="000E7A42"/>
    <w:rsid w:val="000F7104"/>
    <w:rsid w:val="00174736"/>
    <w:rsid w:val="00183A23"/>
    <w:rsid w:val="001A6F49"/>
    <w:rsid w:val="001C76AD"/>
    <w:rsid w:val="001E139A"/>
    <w:rsid w:val="00216048"/>
    <w:rsid w:val="00254108"/>
    <w:rsid w:val="00274B57"/>
    <w:rsid w:val="002763F7"/>
    <w:rsid w:val="002926D9"/>
    <w:rsid w:val="002D27B2"/>
    <w:rsid w:val="002D58D8"/>
    <w:rsid w:val="002E0635"/>
    <w:rsid w:val="00306411"/>
    <w:rsid w:val="00334F1E"/>
    <w:rsid w:val="00363B72"/>
    <w:rsid w:val="00365E63"/>
    <w:rsid w:val="003B489F"/>
    <w:rsid w:val="003E156A"/>
    <w:rsid w:val="003E4E15"/>
    <w:rsid w:val="003E5B55"/>
    <w:rsid w:val="003F0FAB"/>
    <w:rsid w:val="00404050"/>
    <w:rsid w:val="00406098"/>
    <w:rsid w:val="00422EDD"/>
    <w:rsid w:val="00442CD1"/>
    <w:rsid w:val="00470299"/>
    <w:rsid w:val="00492353"/>
    <w:rsid w:val="004D0F3E"/>
    <w:rsid w:val="004F2D4A"/>
    <w:rsid w:val="005455E1"/>
    <w:rsid w:val="00567BE6"/>
    <w:rsid w:val="005957D8"/>
    <w:rsid w:val="00625460"/>
    <w:rsid w:val="006413F9"/>
    <w:rsid w:val="00650343"/>
    <w:rsid w:val="006640D2"/>
    <w:rsid w:val="006725EC"/>
    <w:rsid w:val="00692E00"/>
    <w:rsid w:val="006A24CA"/>
    <w:rsid w:val="006A6B5F"/>
    <w:rsid w:val="006B3105"/>
    <w:rsid w:val="006C11A9"/>
    <w:rsid w:val="006C4FC5"/>
    <w:rsid w:val="006F6BA3"/>
    <w:rsid w:val="00713B2B"/>
    <w:rsid w:val="00726378"/>
    <w:rsid w:val="00732C9F"/>
    <w:rsid w:val="00747CF7"/>
    <w:rsid w:val="007548B3"/>
    <w:rsid w:val="00756B71"/>
    <w:rsid w:val="007625B5"/>
    <w:rsid w:val="00775263"/>
    <w:rsid w:val="00776275"/>
    <w:rsid w:val="007B10F8"/>
    <w:rsid w:val="007E51F0"/>
    <w:rsid w:val="007F21C3"/>
    <w:rsid w:val="00801B9D"/>
    <w:rsid w:val="00803D82"/>
    <w:rsid w:val="0080615A"/>
    <w:rsid w:val="00841B21"/>
    <w:rsid w:val="008565A4"/>
    <w:rsid w:val="00862FEB"/>
    <w:rsid w:val="008A34ED"/>
    <w:rsid w:val="008B6529"/>
    <w:rsid w:val="008C4935"/>
    <w:rsid w:val="008C4AA0"/>
    <w:rsid w:val="008D6321"/>
    <w:rsid w:val="008E030B"/>
    <w:rsid w:val="008E54EF"/>
    <w:rsid w:val="008F7EC7"/>
    <w:rsid w:val="009166AC"/>
    <w:rsid w:val="0092550B"/>
    <w:rsid w:val="009354A5"/>
    <w:rsid w:val="009411FB"/>
    <w:rsid w:val="009876A4"/>
    <w:rsid w:val="009A14C7"/>
    <w:rsid w:val="009E348F"/>
    <w:rsid w:val="009F1ED2"/>
    <w:rsid w:val="00A010BB"/>
    <w:rsid w:val="00A0145E"/>
    <w:rsid w:val="00A2037F"/>
    <w:rsid w:val="00A27554"/>
    <w:rsid w:val="00A55E6E"/>
    <w:rsid w:val="00A703B1"/>
    <w:rsid w:val="00A73BF3"/>
    <w:rsid w:val="00A81724"/>
    <w:rsid w:val="00AB191F"/>
    <w:rsid w:val="00AB4741"/>
    <w:rsid w:val="00AF2664"/>
    <w:rsid w:val="00B226AF"/>
    <w:rsid w:val="00B26C09"/>
    <w:rsid w:val="00B378CF"/>
    <w:rsid w:val="00B43BA4"/>
    <w:rsid w:val="00B63C88"/>
    <w:rsid w:val="00B74BF1"/>
    <w:rsid w:val="00BD3E25"/>
    <w:rsid w:val="00BD5D8E"/>
    <w:rsid w:val="00C36ED7"/>
    <w:rsid w:val="00C379CC"/>
    <w:rsid w:val="00C40329"/>
    <w:rsid w:val="00C408B3"/>
    <w:rsid w:val="00C46E94"/>
    <w:rsid w:val="00C5441A"/>
    <w:rsid w:val="00C75815"/>
    <w:rsid w:val="00C91514"/>
    <w:rsid w:val="00CD55D4"/>
    <w:rsid w:val="00CE0237"/>
    <w:rsid w:val="00CF3E59"/>
    <w:rsid w:val="00D10309"/>
    <w:rsid w:val="00D1422C"/>
    <w:rsid w:val="00D25586"/>
    <w:rsid w:val="00D35520"/>
    <w:rsid w:val="00D63B7E"/>
    <w:rsid w:val="00D66599"/>
    <w:rsid w:val="00DA05CD"/>
    <w:rsid w:val="00DA1EDF"/>
    <w:rsid w:val="00DA5FA7"/>
    <w:rsid w:val="00DB0074"/>
    <w:rsid w:val="00E15B4E"/>
    <w:rsid w:val="00E22A2E"/>
    <w:rsid w:val="00E65B75"/>
    <w:rsid w:val="00E76B05"/>
    <w:rsid w:val="00E96E87"/>
    <w:rsid w:val="00EA36FC"/>
    <w:rsid w:val="00EC31CC"/>
    <w:rsid w:val="00EE15CD"/>
    <w:rsid w:val="00EE36C5"/>
    <w:rsid w:val="00EF0C25"/>
    <w:rsid w:val="00F14513"/>
    <w:rsid w:val="00F1499B"/>
    <w:rsid w:val="00F16948"/>
    <w:rsid w:val="00F35315"/>
    <w:rsid w:val="00F43988"/>
    <w:rsid w:val="00F526B8"/>
    <w:rsid w:val="00F717C1"/>
    <w:rsid w:val="00F915BA"/>
    <w:rsid w:val="00F94F75"/>
    <w:rsid w:val="00FA66F1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4</cp:revision>
  <cp:lastPrinted>2022-09-06T13:35:00Z</cp:lastPrinted>
  <dcterms:created xsi:type="dcterms:W3CDTF">2022-09-07T14:05:00Z</dcterms:created>
  <dcterms:modified xsi:type="dcterms:W3CDTF">2022-09-07T14:07:00Z</dcterms:modified>
</cp:coreProperties>
</file>