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EBB" w:rsidRDefault="00B70EBB" w:rsidP="00B70EBB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>Warszawa, 11 stycznia 2019 roku</w:t>
      </w:r>
    </w:p>
    <w:p w:rsidR="00B70EBB" w:rsidRPr="00C30A61" w:rsidRDefault="00B70EBB" w:rsidP="00B70EBB">
      <w:pPr>
        <w:spacing w:before="240" w:after="120" w:line="276" w:lineRule="auto"/>
        <w:jc w:val="center"/>
        <w:rPr>
          <w:rFonts w:ascii="Calibri" w:hAnsi="Calibri" w:cs="Calibri"/>
          <w:b/>
          <w:sz w:val="40"/>
          <w:szCs w:val="40"/>
          <w:shd w:val="clear" w:color="auto" w:fill="FFFFFF"/>
        </w:rPr>
      </w:pPr>
      <w:r w:rsidRPr="00C30A61">
        <w:rPr>
          <w:rFonts w:ascii="Calibri" w:hAnsi="Calibri" w:cs="Calibri"/>
          <w:b/>
          <w:sz w:val="40"/>
          <w:szCs w:val="40"/>
          <w:shd w:val="clear" w:color="auto" w:fill="FFFFFF"/>
        </w:rPr>
        <w:t>ATAL</w:t>
      </w:r>
      <w:r w:rsidR="00E23B26"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z kolejnym rekordem</w:t>
      </w:r>
      <w:bookmarkStart w:id="0" w:name="_GoBack"/>
      <w:bookmarkEnd w:id="0"/>
      <w:r w:rsidRPr="00C30A61"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: </w:t>
      </w:r>
      <w:r w:rsidR="00FE1335"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2678 przekazań w </w:t>
      </w:r>
      <w:r w:rsidRPr="00C30A61">
        <w:rPr>
          <w:rFonts w:ascii="Calibri" w:hAnsi="Calibri" w:cs="Calibri"/>
          <w:b/>
          <w:sz w:val="40"/>
          <w:szCs w:val="40"/>
          <w:shd w:val="clear" w:color="auto" w:fill="FFFFFF"/>
        </w:rPr>
        <w:t>2018</w:t>
      </w:r>
      <w:r w:rsidR="00FE1335">
        <w:rPr>
          <w:rFonts w:ascii="Calibri" w:hAnsi="Calibri" w:cs="Calibri"/>
          <w:b/>
          <w:sz w:val="40"/>
          <w:szCs w:val="40"/>
          <w:shd w:val="clear" w:color="auto" w:fill="FFFFFF"/>
        </w:rPr>
        <w:t xml:space="preserve"> roku</w:t>
      </w:r>
    </w:p>
    <w:p w:rsidR="00101A7E" w:rsidRPr="00FC2649" w:rsidRDefault="00B70EBB" w:rsidP="00055829">
      <w:pPr>
        <w:pStyle w:val="NormalnyWeb"/>
        <w:spacing w:before="240" w:after="120" w:line="276" w:lineRule="auto"/>
        <w:jc w:val="both"/>
        <w:rPr>
          <w:rFonts w:ascii="Calibri" w:hAnsi="Calibri" w:cs="Calibri"/>
          <w:color w:val="FF0000"/>
        </w:rPr>
      </w:pPr>
      <w:r w:rsidRPr="00A72DB5">
        <w:rPr>
          <w:rFonts w:ascii="Calibri" w:hAnsi="Calibri" w:cs="Calibri"/>
          <w:b/>
          <w:shd w:val="clear" w:color="auto" w:fill="FFFFFF"/>
        </w:rPr>
        <w:t xml:space="preserve">ATAL – ogólnopolski deweloper – </w:t>
      </w:r>
      <w:r w:rsidR="00FE1335" w:rsidRPr="00A72DB5">
        <w:rPr>
          <w:rFonts w:ascii="Calibri" w:hAnsi="Calibri" w:cs="Calibri"/>
          <w:b/>
          <w:shd w:val="clear" w:color="auto" w:fill="FFFFFF"/>
        </w:rPr>
        <w:t xml:space="preserve">w 2018 roku przekazał </w:t>
      </w:r>
      <w:r w:rsidR="00E23B26">
        <w:rPr>
          <w:rFonts w:ascii="Calibri" w:hAnsi="Calibri" w:cs="Calibri"/>
          <w:b/>
          <w:shd w:val="clear" w:color="auto" w:fill="FFFFFF"/>
        </w:rPr>
        <w:t xml:space="preserve">rekordowe </w:t>
      </w:r>
      <w:r w:rsidR="00FE1335" w:rsidRPr="00A72DB5">
        <w:rPr>
          <w:rFonts w:ascii="Calibri" w:hAnsi="Calibri" w:cs="Calibri"/>
          <w:b/>
          <w:shd w:val="clear" w:color="auto" w:fill="FFFFFF"/>
        </w:rPr>
        <w:t>2678 lokali</w:t>
      </w:r>
      <w:r w:rsidR="00101A7E" w:rsidRPr="00A72DB5">
        <w:rPr>
          <w:rFonts w:ascii="Calibri" w:hAnsi="Calibri" w:cs="Calibri"/>
          <w:b/>
          <w:shd w:val="clear" w:color="auto" w:fill="FFFFFF"/>
        </w:rPr>
        <w:t xml:space="preserve"> mieszkalnych i usługowych</w:t>
      </w:r>
      <w:r w:rsidR="00B3343A">
        <w:rPr>
          <w:rFonts w:ascii="Calibri" w:hAnsi="Calibri" w:cs="Calibri"/>
          <w:b/>
        </w:rPr>
        <w:t xml:space="preserve">, </w:t>
      </w:r>
      <w:r w:rsidR="00B3343A" w:rsidRPr="00BB3408">
        <w:rPr>
          <w:rFonts w:ascii="Calibri" w:hAnsi="Calibri" w:cs="Calibri"/>
          <w:b/>
        </w:rPr>
        <w:t>czyli o ponad 16% więcej niż w roku ubiegłym (</w:t>
      </w:r>
      <w:r w:rsidR="00B3343A" w:rsidRPr="00BB3408">
        <w:rPr>
          <w:rFonts w:ascii="Calibri" w:hAnsi="Calibri" w:cs="Calibri"/>
          <w:b/>
          <w:shd w:val="clear" w:color="auto" w:fill="FFFFFF"/>
        </w:rPr>
        <w:t>2308)</w:t>
      </w:r>
      <w:r w:rsidR="00B3343A" w:rsidRPr="00BB3408">
        <w:rPr>
          <w:rFonts w:ascii="Calibri" w:hAnsi="Calibri" w:cs="Calibri"/>
          <w:b/>
        </w:rPr>
        <w:t xml:space="preserve">. </w:t>
      </w:r>
      <w:r w:rsidR="00FE1335" w:rsidRPr="00055829">
        <w:rPr>
          <w:rFonts w:ascii="Calibri" w:hAnsi="Calibri" w:cs="Calibri"/>
          <w:b/>
        </w:rPr>
        <w:t xml:space="preserve">Najwięcej </w:t>
      </w:r>
      <w:r w:rsidR="00101A7E" w:rsidRPr="00055829">
        <w:rPr>
          <w:rFonts w:ascii="Calibri" w:hAnsi="Calibri" w:cs="Calibri"/>
          <w:b/>
        </w:rPr>
        <w:t>lokali zostało wydanych w Krakowie (</w:t>
      </w:r>
      <w:r w:rsidR="00613AE9" w:rsidRPr="00055829">
        <w:rPr>
          <w:rFonts w:ascii="Calibri" w:hAnsi="Calibri" w:cs="Calibri"/>
          <w:b/>
        </w:rPr>
        <w:t>843</w:t>
      </w:r>
      <w:r w:rsidR="00101A7E" w:rsidRPr="00055829">
        <w:rPr>
          <w:rFonts w:ascii="Calibri" w:hAnsi="Calibri" w:cs="Calibri"/>
          <w:b/>
        </w:rPr>
        <w:t xml:space="preserve">), </w:t>
      </w:r>
      <w:r w:rsidR="00BB3408" w:rsidRPr="00055829">
        <w:rPr>
          <w:rFonts w:ascii="Calibri" w:hAnsi="Calibri" w:cs="Calibri"/>
          <w:b/>
        </w:rPr>
        <w:t>Warszawie (6</w:t>
      </w:r>
      <w:r w:rsidR="00613AE9" w:rsidRPr="00055829">
        <w:rPr>
          <w:rFonts w:ascii="Calibri" w:hAnsi="Calibri" w:cs="Calibri"/>
          <w:b/>
        </w:rPr>
        <w:t>50</w:t>
      </w:r>
      <w:r w:rsidR="00BB3408" w:rsidRPr="00055829">
        <w:rPr>
          <w:rFonts w:ascii="Calibri" w:hAnsi="Calibri" w:cs="Calibri"/>
          <w:b/>
        </w:rPr>
        <w:t xml:space="preserve">) i </w:t>
      </w:r>
      <w:r w:rsidR="00101A7E" w:rsidRPr="00055829">
        <w:rPr>
          <w:rFonts w:ascii="Calibri" w:hAnsi="Calibri" w:cs="Calibri"/>
          <w:b/>
        </w:rPr>
        <w:t>Wrocławiu (4</w:t>
      </w:r>
      <w:r w:rsidR="00613AE9" w:rsidRPr="00055829">
        <w:rPr>
          <w:rFonts w:ascii="Calibri" w:hAnsi="Calibri" w:cs="Calibri"/>
          <w:b/>
        </w:rPr>
        <w:t>94</w:t>
      </w:r>
      <w:r w:rsidR="00101A7E" w:rsidRPr="00055829">
        <w:rPr>
          <w:rFonts w:ascii="Calibri" w:hAnsi="Calibri" w:cs="Calibri"/>
          <w:b/>
        </w:rPr>
        <w:t xml:space="preserve">).  </w:t>
      </w:r>
    </w:p>
    <w:p w:rsidR="00395815" w:rsidRPr="004F1B97" w:rsidRDefault="00A72DB5" w:rsidP="004F1B97">
      <w:pPr>
        <w:spacing w:after="120" w:line="276" w:lineRule="auto"/>
        <w:jc w:val="both"/>
        <w:rPr>
          <w:rFonts w:ascii="Calibri" w:hAnsi="Calibri" w:cs="Calibri"/>
          <w:i/>
          <w:color w:val="000000"/>
        </w:rPr>
      </w:pPr>
      <w:r>
        <w:rPr>
          <w:rFonts w:ascii="Calibri" w:hAnsi="Calibri" w:cs="Calibri"/>
          <w:i/>
          <w:color w:val="000000"/>
        </w:rPr>
        <w:t>ATAL kolejny</w:t>
      </w:r>
      <w:r w:rsidR="00FD04F1">
        <w:rPr>
          <w:rFonts w:ascii="Calibri" w:hAnsi="Calibri" w:cs="Calibri"/>
          <w:i/>
          <w:color w:val="000000"/>
        </w:rPr>
        <w:t xml:space="preserve"> już</w:t>
      </w:r>
      <w:r>
        <w:rPr>
          <w:rFonts w:ascii="Calibri" w:hAnsi="Calibri" w:cs="Calibri"/>
          <w:i/>
          <w:color w:val="000000"/>
        </w:rPr>
        <w:t xml:space="preserve"> rok z rzędu </w:t>
      </w:r>
      <w:r w:rsidR="00FC2649">
        <w:rPr>
          <w:rFonts w:ascii="Calibri" w:hAnsi="Calibri" w:cs="Calibri"/>
          <w:i/>
          <w:color w:val="000000"/>
        </w:rPr>
        <w:t xml:space="preserve">zwiększył liczbę przekazanych lokali, co jest wynikiem m.in. </w:t>
      </w:r>
      <w:r w:rsidR="007265E3">
        <w:rPr>
          <w:rFonts w:ascii="Calibri" w:hAnsi="Calibri" w:cs="Calibri"/>
          <w:i/>
          <w:color w:val="000000"/>
        </w:rPr>
        <w:t>wzrastającej</w:t>
      </w:r>
      <w:r w:rsidR="00FC2649">
        <w:rPr>
          <w:rFonts w:ascii="Calibri" w:hAnsi="Calibri" w:cs="Calibri"/>
          <w:i/>
          <w:color w:val="000000"/>
        </w:rPr>
        <w:t xml:space="preserve"> kontraktacji w minionych latach.</w:t>
      </w:r>
      <w:r w:rsidR="007265E3">
        <w:rPr>
          <w:rFonts w:ascii="Calibri" w:hAnsi="Calibri" w:cs="Calibri"/>
          <w:i/>
          <w:color w:val="000000"/>
        </w:rPr>
        <w:t xml:space="preserve"> Rosnąca liczba</w:t>
      </w:r>
      <w:r w:rsidR="00FD04F1">
        <w:rPr>
          <w:rFonts w:ascii="Calibri" w:hAnsi="Calibri" w:cs="Calibri"/>
          <w:i/>
          <w:color w:val="000000"/>
        </w:rPr>
        <w:t xml:space="preserve"> </w:t>
      </w:r>
      <w:r w:rsidR="00055829">
        <w:rPr>
          <w:rFonts w:ascii="Calibri" w:hAnsi="Calibri" w:cs="Calibri"/>
          <w:i/>
          <w:color w:val="000000"/>
          <w:shd w:val="clear" w:color="auto" w:fill="FFFFFF"/>
        </w:rPr>
        <w:t>wydań</w:t>
      </w:r>
      <w:r w:rsidR="00FD04F1">
        <w:rPr>
          <w:rFonts w:ascii="Calibri" w:hAnsi="Calibri" w:cs="Calibri"/>
          <w:i/>
          <w:color w:val="000000"/>
          <w:shd w:val="clear" w:color="auto" w:fill="FFFFFF"/>
        </w:rPr>
        <w:t xml:space="preserve"> sprawia, że spółka notuje historycznie najwyższe przychody i zysk netto. Nadal jednak </w:t>
      </w:r>
      <w:r w:rsidR="00055829">
        <w:rPr>
          <w:rFonts w:ascii="Calibri" w:hAnsi="Calibri" w:cs="Calibri"/>
          <w:i/>
          <w:color w:val="000000"/>
          <w:shd w:val="clear" w:color="auto" w:fill="FFFFFF"/>
        </w:rPr>
        <w:t>naszym priorytetem pozostaje utrzymywanie</w:t>
      </w:r>
      <w:r w:rsidR="00FD04F1" w:rsidRPr="008B52E7">
        <w:rPr>
          <w:rFonts w:ascii="Calibri" w:hAnsi="Calibri" w:cs="Calibri"/>
          <w:i/>
          <w:color w:val="000000"/>
          <w:shd w:val="clear" w:color="auto" w:fill="FFFFFF"/>
        </w:rPr>
        <w:t xml:space="preserve"> wysokiej rentowności projektów deweloperskich</w:t>
      </w:r>
      <w:r w:rsidR="00055829">
        <w:rPr>
          <w:rFonts w:ascii="Calibri" w:hAnsi="Calibri" w:cs="Calibri"/>
          <w:i/>
          <w:color w:val="000000"/>
          <w:shd w:val="clear" w:color="auto" w:fill="FFFFFF"/>
        </w:rPr>
        <w:t xml:space="preserve"> </w:t>
      </w:r>
      <w:r w:rsidR="00E4711B">
        <w:rPr>
          <w:rFonts w:ascii="Calibri" w:hAnsi="Calibri" w:cs="Calibri"/>
          <w:color w:val="000000"/>
          <w:shd w:val="clear" w:color="auto" w:fill="FFFFFF"/>
        </w:rPr>
        <w:t xml:space="preserve">– </w:t>
      </w:r>
      <w:r w:rsidR="00E4711B">
        <w:rPr>
          <w:rFonts w:ascii="Calibri" w:hAnsi="Calibri" w:cs="Calibri"/>
          <w:b/>
          <w:color w:val="000000"/>
          <w:shd w:val="clear" w:color="auto" w:fill="FFFFFF"/>
        </w:rPr>
        <w:t xml:space="preserve">mówi Zbigniew </w:t>
      </w:r>
      <w:proofErr w:type="spellStart"/>
      <w:r w:rsidR="00E4711B">
        <w:rPr>
          <w:rFonts w:ascii="Calibri" w:hAnsi="Calibri" w:cs="Calibri"/>
          <w:b/>
          <w:color w:val="000000"/>
          <w:shd w:val="clear" w:color="auto" w:fill="FFFFFF"/>
        </w:rPr>
        <w:t>Juroszek</w:t>
      </w:r>
      <w:proofErr w:type="spellEnd"/>
      <w:r w:rsidR="00E4711B">
        <w:rPr>
          <w:rFonts w:ascii="Calibri" w:hAnsi="Calibri" w:cs="Calibri"/>
          <w:b/>
          <w:color w:val="000000"/>
          <w:shd w:val="clear" w:color="auto" w:fill="FFFFFF"/>
        </w:rPr>
        <w:t>, prezes ATAL.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35"/>
        <w:gridCol w:w="4321"/>
      </w:tblGrid>
      <w:tr w:rsidR="00395815" w:rsidTr="00DF7DA2">
        <w:trPr>
          <w:trHeight w:val="292"/>
        </w:trPr>
        <w:tc>
          <w:tcPr>
            <w:tcW w:w="9356" w:type="dxa"/>
            <w:gridSpan w:val="2"/>
            <w:tcBorders>
              <w:top w:val="single" w:sz="4" w:space="0" w:color="FF0000"/>
            </w:tcBorders>
            <w:shd w:val="clear" w:color="auto" w:fill="FBE4D5"/>
          </w:tcPr>
          <w:p w:rsidR="00395815" w:rsidRDefault="008D70CD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WYDANIA</w:t>
            </w:r>
            <w:r w:rsidR="00395815">
              <w:rPr>
                <w:rFonts w:ascii="Calibri" w:hAnsi="Calibri" w:cs="Calibri"/>
                <w:b/>
                <w:bCs/>
                <w:color w:val="000000"/>
              </w:rPr>
              <w:t xml:space="preserve"> LOKALI ATAL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W 2018</w:t>
            </w:r>
            <w:r w:rsidR="00395815">
              <w:rPr>
                <w:rFonts w:ascii="Calibri" w:hAnsi="Calibri" w:cs="Calibri"/>
                <w:b/>
                <w:bCs/>
                <w:color w:val="000000"/>
              </w:rPr>
              <w:t xml:space="preserve"> (wg. MIAST)</w:t>
            </w:r>
          </w:p>
        </w:tc>
      </w:tr>
      <w:tr w:rsidR="00395815" w:rsidTr="00DF7DA2">
        <w:trPr>
          <w:trHeight w:val="292"/>
        </w:trPr>
        <w:tc>
          <w:tcPr>
            <w:tcW w:w="5035" w:type="dxa"/>
            <w:shd w:val="clear" w:color="auto" w:fill="auto"/>
          </w:tcPr>
          <w:p w:rsidR="00395815" w:rsidRDefault="00395815" w:rsidP="00DF7DA2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Miasto</w:t>
            </w:r>
          </w:p>
        </w:tc>
        <w:tc>
          <w:tcPr>
            <w:tcW w:w="4321" w:type="dxa"/>
            <w:shd w:val="clear" w:color="auto" w:fill="auto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Liczba przekazanych lokali</w:t>
            </w:r>
          </w:p>
        </w:tc>
      </w:tr>
      <w:tr w:rsidR="00395815" w:rsidTr="00DF7DA2">
        <w:trPr>
          <w:trHeight w:val="307"/>
        </w:trPr>
        <w:tc>
          <w:tcPr>
            <w:tcW w:w="5035" w:type="dxa"/>
            <w:shd w:val="clear" w:color="auto" w:fill="FBE4D5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Katowice</w:t>
            </w:r>
          </w:p>
        </w:tc>
        <w:tc>
          <w:tcPr>
            <w:tcW w:w="4321" w:type="dxa"/>
            <w:shd w:val="clear" w:color="auto" w:fill="FBE4D5"/>
          </w:tcPr>
          <w:p w:rsidR="00395815" w:rsidRPr="00100BA2" w:rsidRDefault="00395815" w:rsidP="00DF7DA2">
            <w:pPr>
              <w:spacing w:line="100" w:lineRule="atLeast"/>
              <w:ind w:right="34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9515A">
              <w:rPr>
                <w:rFonts w:ascii="Calibri" w:hAnsi="Calibri" w:cs="Calibri"/>
                <w:color w:val="000000"/>
              </w:rPr>
              <w:t>03</w:t>
            </w:r>
          </w:p>
        </w:tc>
      </w:tr>
      <w:tr w:rsidR="00395815" w:rsidTr="00DF7DA2">
        <w:trPr>
          <w:trHeight w:val="292"/>
        </w:trPr>
        <w:tc>
          <w:tcPr>
            <w:tcW w:w="5035" w:type="dxa"/>
            <w:shd w:val="clear" w:color="auto" w:fill="auto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Kraków</w:t>
            </w:r>
          </w:p>
        </w:tc>
        <w:tc>
          <w:tcPr>
            <w:tcW w:w="4321" w:type="dxa"/>
            <w:shd w:val="clear" w:color="auto" w:fill="auto"/>
          </w:tcPr>
          <w:p w:rsidR="00395815" w:rsidRPr="00100BA2" w:rsidRDefault="0039515A" w:rsidP="00DF7DA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843</w:t>
            </w:r>
          </w:p>
        </w:tc>
      </w:tr>
      <w:tr w:rsidR="00395815" w:rsidTr="00DF7DA2">
        <w:trPr>
          <w:trHeight w:val="307"/>
        </w:trPr>
        <w:tc>
          <w:tcPr>
            <w:tcW w:w="5035" w:type="dxa"/>
            <w:shd w:val="clear" w:color="auto" w:fill="FBE4D5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Łódź</w:t>
            </w:r>
          </w:p>
        </w:tc>
        <w:tc>
          <w:tcPr>
            <w:tcW w:w="4321" w:type="dxa"/>
            <w:shd w:val="clear" w:color="auto" w:fill="FBE4D5"/>
          </w:tcPr>
          <w:p w:rsidR="00395815" w:rsidRPr="00100BA2" w:rsidRDefault="0039515A" w:rsidP="00DF7DA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</w:tr>
      <w:tr w:rsidR="00395815" w:rsidTr="00DF7DA2">
        <w:trPr>
          <w:trHeight w:val="292"/>
        </w:trPr>
        <w:tc>
          <w:tcPr>
            <w:tcW w:w="5035" w:type="dxa"/>
            <w:shd w:val="clear" w:color="auto" w:fill="auto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Warszawa</w:t>
            </w:r>
          </w:p>
        </w:tc>
        <w:tc>
          <w:tcPr>
            <w:tcW w:w="4321" w:type="dxa"/>
            <w:shd w:val="clear" w:color="auto" w:fill="auto"/>
          </w:tcPr>
          <w:p w:rsidR="00395815" w:rsidRPr="00100BA2" w:rsidRDefault="0039515A" w:rsidP="00DF7DA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395815"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395815" w:rsidTr="00DF7DA2">
        <w:trPr>
          <w:trHeight w:val="307"/>
        </w:trPr>
        <w:tc>
          <w:tcPr>
            <w:tcW w:w="5035" w:type="dxa"/>
            <w:shd w:val="clear" w:color="auto" w:fill="FBE4D5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Wrocław</w:t>
            </w:r>
          </w:p>
        </w:tc>
        <w:tc>
          <w:tcPr>
            <w:tcW w:w="4321" w:type="dxa"/>
            <w:shd w:val="clear" w:color="auto" w:fill="FBE4D5"/>
          </w:tcPr>
          <w:p w:rsidR="00395815" w:rsidRPr="00100BA2" w:rsidRDefault="0039515A" w:rsidP="00DF7DA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</w:t>
            </w:r>
          </w:p>
        </w:tc>
      </w:tr>
      <w:tr w:rsidR="00395815" w:rsidTr="00DF7DA2">
        <w:trPr>
          <w:trHeight w:val="261"/>
        </w:trPr>
        <w:tc>
          <w:tcPr>
            <w:tcW w:w="5035" w:type="dxa"/>
            <w:shd w:val="clear" w:color="auto" w:fill="auto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>Trójmiasto</w:t>
            </w:r>
          </w:p>
        </w:tc>
        <w:tc>
          <w:tcPr>
            <w:tcW w:w="4321" w:type="dxa"/>
            <w:shd w:val="clear" w:color="auto" w:fill="auto"/>
          </w:tcPr>
          <w:p w:rsidR="00395815" w:rsidRPr="00100BA2" w:rsidRDefault="0039515A" w:rsidP="00DF7DA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</w:tr>
      <w:tr w:rsidR="00395815" w:rsidTr="00DF7DA2">
        <w:trPr>
          <w:trHeight w:val="261"/>
        </w:trPr>
        <w:tc>
          <w:tcPr>
            <w:tcW w:w="5035" w:type="dxa"/>
            <w:shd w:val="clear" w:color="auto" w:fill="FBE4D5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Cs/>
                <w:color w:val="000000"/>
              </w:rPr>
              <w:t xml:space="preserve">Poznań </w:t>
            </w:r>
          </w:p>
        </w:tc>
        <w:tc>
          <w:tcPr>
            <w:tcW w:w="4321" w:type="dxa"/>
            <w:shd w:val="clear" w:color="auto" w:fill="FBE4D5"/>
          </w:tcPr>
          <w:p w:rsidR="00395815" w:rsidRPr="00100BA2" w:rsidRDefault="00395815" w:rsidP="00DF7DA2">
            <w:pPr>
              <w:spacing w:line="100" w:lineRule="atLeast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9515A">
              <w:rPr>
                <w:rFonts w:ascii="Calibri" w:hAnsi="Calibri" w:cs="Calibri"/>
                <w:color w:val="000000"/>
              </w:rPr>
              <w:t>28</w:t>
            </w:r>
          </w:p>
        </w:tc>
      </w:tr>
      <w:tr w:rsidR="00395815" w:rsidTr="00DF7DA2">
        <w:trPr>
          <w:trHeight w:val="323"/>
        </w:trPr>
        <w:tc>
          <w:tcPr>
            <w:tcW w:w="5035" w:type="dxa"/>
            <w:tcBorders>
              <w:bottom w:val="single" w:sz="4" w:space="0" w:color="FF0000"/>
            </w:tcBorders>
            <w:shd w:val="clear" w:color="auto" w:fill="auto"/>
          </w:tcPr>
          <w:p w:rsidR="00395815" w:rsidRDefault="00395815" w:rsidP="00DF7DA2">
            <w:pPr>
              <w:spacing w:line="10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</w:rPr>
              <w:t>Łącznie</w:t>
            </w:r>
          </w:p>
        </w:tc>
        <w:tc>
          <w:tcPr>
            <w:tcW w:w="4321" w:type="dxa"/>
            <w:tcBorders>
              <w:bottom w:val="single" w:sz="4" w:space="0" w:color="FF0000"/>
            </w:tcBorders>
            <w:shd w:val="clear" w:color="auto" w:fill="auto"/>
          </w:tcPr>
          <w:p w:rsidR="00395815" w:rsidRPr="00100BA2" w:rsidRDefault="00395815" w:rsidP="00DF7DA2">
            <w:pPr>
              <w:spacing w:line="100" w:lineRule="atLeas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  <w:r w:rsidR="00DB4C4C">
              <w:rPr>
                <w:rFonts w:ascii="Calibri" w:hAnsi="Calibri" w:cs="Calibri"/>
                <w:b/>
                <w:color w:val="000000"/>
              </w:rPr>
              <w:t xml:space="preserve"> 6</w:t>
            </w:r>
            <w:r w:rsidR="00F757E7">
              <w:rPr>
                <w:rFonts w:ascii="Calibri" w:hAnsi="Calibri" w:cs="Calibri"/>
                <w:b/>
                <w:color w:val="000000"/>
              </w:rPr>
              <w:t>78</w:t>
            </w:r>
          </w:p>
        </w:tc>
      </w:tr>
    </w:tbl>
    <w:p w:rsidR="00055829" w:rsidRPr="00055829" w:rsidRDefault="00055829" w:rsidP="00055829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W ubiegłym roku spółka</w:t>
      </w:r>
      <w:r w:rsidRPr="00055829">
        <w:rPr>
          <w:rFonts w:ascii="Calibri" w:hAnsi="Calibri" w:cs="Calibri"/>
          <w:shd w:val="clear" w:color="auto" w:fill="FFFFFF"/>
        </w:rPr>
        <w:t xml:space="preserve"> zakontraktował</w:t>
      </w:r>
      <w:r>
        <w:rPr>
          <w:rFonts w:ascii="Calibri" w:hAnsi="Calibri" w:cs="Calibri"/>
          <w:shd w:val="clear" w:color="auto" w:fill="FFFFFF"/>
        </w:rPr>
        <w:t>a</w:t>
      </w:r>
      <w:r w:rsidRPr="00055829">
        <w:rPr>
          <w:rFonts w:ascii="Calibri" w:hAnsi="Calibri" w:cs="Calibri"/>
          <w:shd w:val="clear" w:color="auto" w:fill="FFFFFF"/>
        </w:rPr>
        <w:t xml:space="preserve"> 2420 lokali. Najwięcej umów deweloperskich podpisano we Wrocławiu (510), Łodzi (484) i Warszawie (450). </w:t>
      </w:r>
      <w:r>
        <w:rPr>
          <w:rFonts w:ascii="Calibri" w:hAnsi="Calibri" w:cs="Calibri"/>
          <w:shd w:val="clear" w:color="auto" w:fill="FFFFFF"/>
        </w:rPr>
        <w:t>Założenia na</w:t>
      </w:r>
      <w:r w:rsidRPr="00055829">
        <w:rPr>
          <w:rFonts w:ascii="Calibri" w:hAnsi="Calibri" w:cs="Calibri"/>
          <w:shd w:val="clear" w:color="auto" w:fill="FFFFFF"/>
        </w:rPr>
        <w:t xml:space="preserve"> 2019 rok </w:t>
      </w:r>
      <w:r>
        <w:rPr>
          <w:rFonts w:ascii="Calibri" w:hAnsi="Calibri" w:cs="Calibri"/>
          <w:shd w:val="clear" w:color="auto" w:fill="FFFFFF"/>
        </w:rPr>
        <w:t xml:space="preserve">zakładają, że </w:t>
      </w:r>
      <w:r w:rsidRPr="00055829">
        <w:rPr>
          <w:rFonts w:ascii="Calibri" w:hAnsi="Calibri" w:cs="Calibri"/>
          <w:shd w:val="clear" w:color="auto" w:fill="FFFFFF"/>
        </w:rPr>
        <w:t xml:space="preserve">sprzedaż pozostanie na </w:t>
      </w:r>
      <w:r>
        <w:rPr>
          <w:rFonts w:ascii="Calibri" w:hAnsi="Calibri" w:cs="Calibri"/>
          <w:shd w:val="clear" w:color="auto" w:fill="FFFFFF"/>
        </w:rPr>
        <w:t>wysokim poziomie, co najmniej takim jak przed rokiem.</w:t>
      </w:r>
    </w:p>
    <w:p w:rsidR="00055829" w:rsidRDefault="00055829" w:rsidP="00395815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i/>
          <w:color w:val="000000"/>
        </w:rPr>
        <w:t>Naszą kluczową przewagą rynkową pozostaje dywersyfikacja biznesu – ATAL to jedyny deweloper</w:t>
      </w:r>
      <w:r w:rsidRPr="009F47C2">
        <w:rPr>
          <w:rFonts w:ascii="Calibri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obecny</w:t>
      </w:r>
      <w:r w:rsidRPr="009F47C2">
        <w:rPr>
          <w:rFonts w:ascii="Calibri" w:hAnsi="Calibri" w:cs="Calibri"/>
          <w:i/>
          <w:color w:val="000000"/>
        </w:rPr>
        <w:t xml:space="preserve"> we wszystkich największych aglomeracjach w Polsce</w:t>
      </w:r>
      <w:r>
        <w:rPr>
          <w:rFonts w:ascii="Calibri" w:hAnsi="Calibri" w:cs="Calibri"/>
          <w:i/>
          <w:color w:val="000000"/>
        </w:rPr>
        <w:t xml:space="preserve">. To gwarantuje nam niezależność od koniunktury panującej na poszczególnych rynkach i stwarza potencjał dalszego zwiększania sprzedaży </w:t>
      </w:r>
      <w:r>
        <w:rPr>
          <w:rFonts w:ascii="Calibri" w:hAnsi="Calibri" w:cs="Calibri"/>
          <w:color w:val="000000"/>
          <w:shd w:val="clear" w:color="auto" w:fill="FFFFFF"/>
        </w:rPr>
        <w:t xml:space="preserve">– 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dodaje Zbigniew </w:t>
      </w:r>
      <w:proofErr w:type="spellStart"/>
      <w:r>
        <w:rPr>
          <w:rFonts w:ascii="Calibri" w:hAnsi="Calibri" w:cs="Calibri"/>
          <w:b/>
          <w:color w:val="000000"/>
          <w:shd w:val="clear" w:color="auto" w:fill="FFFFFF"/>
        </w:rPr>
        <w:t>Juroszek</w:t>
      </w:r>
      <w:proofErr w:type="spellEnd"/>
      <w:r>
        <w:rPr>
          <w:rFonts w:ascii="Calibri" w:hAnsi="Calibri" w:cs="Calibri"/>
          <w:b/>
          <w:color w:val="000000"/>
          <w:shd w:val="clear" w:color="auto" w:fill="FFFFFF"/>
        </w:rPr>
        <w:t>.</w:t>
      </w:r>
    </w:p>
    <w:p w:rsidR="00395815" w:rsidRDefault="00395815" w:rsidP="00395815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 w:rsidRPr="004379E1">
        <w:rPr>
          <w:rFonts w:ascii="Calibri" w:hAnsi="Calibri" w:cs="Calibri"/>
          <w:shd w:val="clear" w:color="auto" w:fill="FFFFFF"/>
        </w:rPr>
        <w:t xml:space="preserve">ATAL od stycznia do września 2018 roku </w:t>
      </w:r>
      <w:r w:rsidRPr="004379E1">
        <w:rPr>
          <w:rFonts w:ascii="Calibri" w:hAnsi="Calibri" w:cs="Calibri"/>
          <w:b/>
          <w:shd w:val="clear" w:color="auto" w:fill="FFFFFF"/>
        </w:rPr>
        <w:t>wygenerował skonsolidowane przychody na poziomie 878,5 mln zł, co oznacza wzrost o 36% rok do roku</w:t>
      </w:r>
      <w:r w:rsidRPr="004379E1">
        <w:rPr>
          <w:rFonts w:ascii="Calibri" w:hAnsi="Calibri" w:cs="Calibri"/>
          <w:shd w:val="clear" w:color="auto" w:fill="FFFFFF"/>
        </w:rPr>
        <w:t xml:space="preserve">. W tym samym okresie sprawozdawczym </w:t>
      </w:r>
      <w:r w:rsidRPr="004379E1">
        <w:rPr>
          <w:rFonts w:ascii="Calibri" w:hAnsi="Calibri" w:cs="Calibri"/>
          <w:b/>
          <w:shd w:val="clear" w:color="auto" w:fill="FFFFFF"/>
        </w:rPr>
        <w:t>spółka wypracowała 166,7 mln zł zysku netto</w:t>
      </w:r>
      <w:r w:rsidRPr="004379E1">
        <w:rPr>
          <w:rFonts w:ascii="Calibri" w:hAnsi="Calibri" w:cs="Calibri"/>
          <w:shd w:val="clear" w:color="auto" w:fill="FFFFFF"/>
        </w:rPr>
        <w:t xml:space="preserve"> </w:t>
      </w:r>
      <w:r w:rsidRPr="004379E1">
        <w:rPr>
          <w:rFonts w:ascii="Calibri" w:hAnsi="Calibri" w:cs="Calibri"/>
          <w:bCs/>
        </w:rPr>
        <w:t>przypadającego akcjonariuszom jednostki dominującej</w:t>
      </w:r>
      <w:r w:rsidRPr="004379E1">
        <w:rPr>
          <w:rFonts w:ascii="Calibri" w:hAnsi="Calibri" w:cs="Calibri"/>
          <w:shd w:val="clear" w:color="auto" w:fill="FFFFFF"/>
        </w:rPr>
        <w:t xml:space="preserve">, czyli o ponad 26% więcej niż przed rokiem. </w:t>
      </w:r>
      <w:r w:rsidRPr="004379E1">
        <w:rPr>
          <w:rFonts w:ascii="Calibri" w:hAnsi="Calibri" w:cs="Calibri"/>
          <w:b/>
          <w:shd w:val="clear" w:color="auto" w:fill="FFFFFF"/>
        </w:rPr>
        <w:t>Marża brutto ze sprzedaży od stycznia do września</w:t>
      </w:r>
      <w:r>
        <w:rPr>
          <w:rFonts w:ascii="Calibri" w:hAnsi="Calibri" w:cs="Calibri"/>
          <w:b/>
          <w:shd w:val="clear" w:color="auto" w:fill="FFFFFF"/>
        </w:rPr>
        <w:t xml:space="preserve"> 2018</w:t>
      </w:r>
      <w:r w:rsidRPr="004379E1">
        <w:rPr>
          <w:rFonts w:ascii="Calibri" w:hAnsi="Calibri" w:cs="Calibri"/>
          <w:b/>
          <w:shd w:val="clear" w:color="auto" w:fill="FFFFFF"/>
        </w:rPr>
        <w:t xml:space="preserve"> wyniosła 27%</w:t>
      </w:r>
      <w:r w:rsidRPr="004379E1">
        <w:rPr>
          <w:rFonts w:ascii="Calibri" w:hAnsi="Calibri" w:cs="Calibri"/>
          <w:shd w:val="clear" w:color="auto" w:fill="FFFFFF"/>
        </w:rPr>
        <w:t xml:space="preserve">, natomiast w trzecim kwartale </w:t>
      </w:r>
      <w:r>
        <w:rPr>
          <w:rFonts w:ascii="Calibri" w:hAnsi="Calibri" w:cs="Calibri"/>
          <w:shd w:val="clear" w:color="auto" w:fill="FFFFFF"/>
        </w:rPr>
        <w:t xml:space="preserve">2018 </w:t>
      </w:r>
      <w:r w:rsidRPr="004379E1">
        <w:rPr>
          <w:rFonts w:ascii="Calibri" w:hAnsi="Calibri" w:cs="Calibri"/>
          <w:shd w:val="clear" w:color="auto" w:fill="FFFFFF"/>
        </w:rPr>
        <w:t>24%. Marża netto w I-III kw. 2018 to 20%, a w Q3 2018 17%.</w:t>
      </w:r>
    </w:p>
    <w:p w:rsidR="00395815" w:rsidRPr="00395815" w:rsidRDefault="00395815" w:rsidP="00395815">
      <w:pPr>
        <w:pStyle w:val="NormalnyWeb"/>
        <w:spacing w:before="240" w:after="120" w:line="276" w:lineRule="auto"/>
        <w:jc w:val="both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lastRenderedPageBreak/>
        <w:t xml:space="preserve">W pierwszych dziewięciu miesiącach 2018 roku ATAL nabył </w:t>
      </w:r>
      <w:r>
        <w:rPr>
          <w:rFonts w:ascii="Calibri" w:hAnsi="Calibri" w:cs="Calibri"/>
          <w:b/>
        </w:rPr>
        <w:t>14</w:t>
      </w:r>
      <w:r w:rsidRPr="00F11538">
        <w:rPr>
          <w:rFonts w:ascii="Calibri" w:hAnsi="Calibri" w:cs="Calibri"/>
          <w:b/>
        </w:rPr>
        <w:t xml:space="preserve"> gruntów</w:t>
      </w:r>
      <w:r>
        <w:rPr>
          <w:rFonts w:ascii="Calibri" w:hAnsi="Calibri" w:cs="Calibri"/>
        </w:rPr>
        <w:t xml:space="preserve"> w Trójmieście, Poznaniu, Krakowie, Wrocławiu, Warszawie i na Śląsku </w:t>
      </w:r>
      <w:r w:rsidRPr="00F11538">
        <w:rPr>
          <w:rFonts w:ascii="Calibri" w:hAnsi="Calibri" w:cs="Calibri"/>
          <w:b/>
        </w:rPr>
        <w:t xml:space="preserve">za łączną </w:t>
      </w:r>
      <w:r w:rsidRPr="00FE0612">
        <w:rPr>
          <w:rFonts w:ascii="Calibri" w:hAnsi="Calibri" w:cs="Calibri"/>
          <w:b/>
        </w:rPr>
        <w:t>kwotę ok. 135 mln zł</w:t>
      </w:r>
      <w:r w:rsidRPr="00FE0612">
        <w:rPr>
          <w:rFonts w:ascii="Calibri" w:hAnsi="Calibri" w:cs="Calibri"/>
        </w:rPr>
        <w:t>. Zsumowany PUM tych gruntów to ok. 166 tys. mkw. Oznacza to koszt zakupu mkw</w:t>
      </w:r>
      <w:r>
        <w:rPr>
          <w:rFonts w:ascii="Calibri" w:hAnsi="Calibri" w:cs="Calibri"/>
        </w:rPr>
        <w:t>.</w:t>
      </w:r>
      <w:r w:rsidRPr="00FE0612">
        <w:rPr>
          <w:rFonts w:ascii="Calibri" w:hAnsi="Calibri" w:cs="Calibri"/>
        </w:rPr>
        <w:t xml:space="preserve"> PUM na poziomie 812 zł. </w:t>
      </w:r>
      <w:r>
        <w:rPr>
          <w:rFonts w:ascii="Calibri" w:hAnsi="Calibri" w:cs="Calibri"/>
        </w:rPr>
        <w:t xml:space="preserve"> W całym zeszłym</w:t>
      </w:r>
      <w:r w:rsidRPr="00B902F3">
        <w:rPr>
          <w:rFonts w:ascii="Calibri" w:hAnsi="Calibri" w:cs="Calibri"/>
        </w:rPr>
        <w:t xml:space="preserve"> roku ATAL wydał</w:t>
      </w:r>
      <w:r>
        <w:rPr>
          <w:rFonts w:ascii="Calibri" w:hAnsi="Calibri" w:cs="Calibri"/>
          <w:b/>
        </w:rPr>
        <w:t xml:space="preserve"> na zakup nowych gruntów ponad 232,3 mln złotych</w:t>
      </w:r>
      <w:r w:rsidRPr="00B902F3">
        <w:rPr>
          <w:rFonts w:ascii="Calibri" w:hAnsi="Calibri" w:cs="Calibri"/>
        </w:rPr>
        <w:t xml:space="preserve">, co </w:t>
      </w:r>
      <w:r w:rsidRPr="00FE0612">
        <w:rPr>
          <w:rFonts w:ascii="Calibri" w:hAnsi="Calibri" w:cs="Calibri"/>
        </w:rPr>
        <w:t xml:space="preserve">stanowiło </w:t>
      </w:r>
      <w:r w:rsidRPr="00B902F3">
        <w:rPr>
          <w:rFonts w:ascii="Calibri" w:hAnsi="Calibri" w:cs="Calibri"/>
        </w:rPr>
        <w:t xml:space="preserve">rekordowy wynik w historii firmy. </w:t>
      </w:r>
    </w:p>
    <w:p w:rsidR="00395815" w:rsidRDefault="00395815" w:rsidP="00395815">
      <w:pPr>
        <w:pStyle w:val="NormalnyWeb"/>
        <w:spacing w:line="276" w:lineRule="auto"/>
        <w:jc w:val="both"/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W trakcie trzech kwartałów 2018 roku ATAL wprowadził do sprzedaży w sumie </w:t>
      </w:r>
      <w:r w:rsidRPr="00FE0612">
        <w:rPr>
          <w:rFonts w:ascii="Calibri" w:hAnsi="Calibri" w:cs="Calibri"/>
          <w:b/>
          <w:bCs/>
          <w:shd w:val="clear" w:color="auto" w:fill="FFFFFF"/>
        </w:rPr>
        <w:t>17 projektów z ponad 2812 lokalami</w:t>
      </w:r>
      <w:r w:rsidRPr="00FE0612">
        <w:rPr>
          <w:rFonts w:ascii="Calibri" w:hAnsi="Calibri" w:cs="Calibri"/>
          <w:shd w:val="clear" w:color="auto" w:fill="FFFFFF"/>
        </w:rPr>
        <w:t xml:space="preserve"> </w:t>
      </w:r>
      <w:r w:rsidRPr="00FE0612">
        <w:rPr>
          <w:rFonts w:ascii="Calibri" w:hAnsi="Calibri" w:cs="Calibri"/>
        </w:rPr>
        <w:t>–</w:t>
      </w:r>
      <w:r>
        <w:rPr>
          <w:rFonts w:ascii="Calibri" w:hAnsi="Calibri" w:cs="Calibri"/>
          <w:color w:val="000000"/>
          <w:shd w:val="clear" w:color="auto" w:fill="FFFFFF"/>
        </w:rPr>
        <w:t xml:space="preserve"> w Łodzi Pomorska Park III oraz Apartamenty Drewnowska 43 II, w Trójmieście Przystań </w:t>
      </w:r>
      <w:r w:rsidRPr="00FE0612">
        <w:rPr>
          <w:rFonts w:ascii="Calibri" w:hAnsi="Calibri" w:cs="Calibri"/>
          <w:shd w:val="clear" w:color="auto" w:fill="FFFFFF"/>
        </w:rPr>
        <w:t xml:space="preserve">Letnica I </w:t>
      </w:r>
      <w:proofErr w:type="spellStart"/>
      <w:r w:rsidRPr="00FE0612">
        <w:rPr>
          <w:rFonts w:ascii="Calibri" w:hAnsi="Calibri" w:cs="Calibri"/>
          <w:shd w:val="clear" w:color="auto" w:fill="FFFFFF"/>
        </w:rPr>
        <w:t>i</w:t>
      </w:r>
      <w:proofErr w:type="spellEnd"/>
      <w:r w:rsidRPr="00FE0612">
        <w:rPr>
          <w:rFonts w:ascii="Calibri" w:hAnsi="Calibri" w:cs="Calibri"/>
          <w:shd w:val="clear" w:color="auto" w:fill="FFFFFF"/>
        </w:rPr>
        <w:t xml:space="preserve"> Modern Tower w Gdyni,</w:t>
      </w:r>
      <w:r>
        <w:rPr>
          <w:rFonts w:ascii="Calibri" w:hAnsi="Calibri" w:cs="Calibri"/>
          <w:color w:val="000000"/>
          <w:shd w:val="clear" w:color="auto" w:fill="FFFFFF"/>
        </w:rPr>
        <w:t xml:space="preserve"> we Wrocławiu I etap Krakowskiej 37 oraz kolejne etapy </w:t>
      </w:r>
      <w:r w:rsidRPr="00FE0612">
        <w:rPr>
          <w:rFonts w:ascii="Calibri" w:hAnsi="Calibri" w:cs="Calibri"/>
          <w:shd w:val="clear" w:color="auto" w:fill="FFFFFF"/>
        </w:rPr>
        <w:t xml:space="preserve">(III-IV) Nowego Miasta Różanka, w Krakowie ATAL Kliny Zacisze I, II A i B oraz czwarty etap ATAL </w:t>
      </w:r>
      <w:proofErr w:type="spellStart"/>
      <w:r w:rsidRPr="00FE0612">
        <w:rPr>
          <w:rFonts w:ascii="Calibri" w:hAnsi="Calibri" w:cs="Calibri"/>
          <w:shd w:val="clear" w:color="auto" w:fill="FFFFFF"/>
        </w:rPr>
        <w:t>Residence</w:t>
      </w:r>
      <w:proofErr w:type="spellEnd"/>
      <w:r w:rsidRPr="00FE0612">
        <w:rPr>
          <w:rFonts w:ascii="Calibri" w:hAnsi="Calibri" w:cs="Calibri"/>
          <w:shd w:val="clear" w:color="auto" w:fill="FFFFFF"/>
        </w:rPr>
        <w:t xml:space="preserve"> Zabłocie czy Bagry Park Lokale Inwestycyjne, w Katowicach I </w:t>
      </w:r>
      <w:proofErr w:type="spellStart"/>
      <w:r w:rsidRPr="00FE0612">
        <w:rPr>
          <w:rFonts w:ascii="Calibri" w:hAnsi="Calibri" w:cs="Calibri"/>
          <w:shd w:val="clear" w:color="auto" w:fill="FFFFFF"/>
        </w:rPr>
        <w:t>i</w:t>
      </w:r>
      <w:proofErr w:type="spellEnd"/>
      <w:r w:rsidRPr="00FE0612">
        <w:rPr>
          <w:rFonts w:ascii="Calibri" w:hAnsi="Calibri" w:cs="Calibri"/>
          <w:shd w:val="clear" w:color="auto" w:fill="FFFFFF"/>
        </w:rPr>
        <w:t xml:space="preserve"> II etap osiedla Nowy Brynów, w Poznaniu natomiast I </w:t>
      </w:r>
      <w:proofErr w:type="spellStart"/>
      <w:r w:rsidRPr="00FE0612">
        <w:rPr>
          <w:rFonts w:ascii="Calibri" w:hAnsi="Calibri" w:cs="Calibri"/>
          <w:shd w:val="clear" w:color="auto" w:fill="FFFFFF"/>
        </w:rPr>
        <w:t>i</w:t>
      </w:r>
      <w:proofErr w:type="spellEnd"/>
      <w:r w:rsidRPr="00FE0612">
        <w:rPr>
          <w:rFonts w:ascii="Calibri" w:hAnsi="Calibri" w:cs="Calibri"/>
          <w:shd w:val="clear" w:color="auto" w:fill="FFFFFF"/>
        </w:rPr>
        <w:t xml:space="preserve"> II</w:t>
      </w:r>
      <w:r>
        <w:rPr>
          <w:rFonts w:ascii="Calibri" w:hAnsi="Calibri" w:cs="Calibri"/>
          <w:color w:val="000000"/>
          <w:shd w:val="clear" w:color="auto" w:fill="FFFFFF"/>
        </w:rPr>
        <w:t xml:space="preserve"> etap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Milczańska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Apartamenty oraz Rezydencja Chwaliszewo, w Warszawie zaś III etap Osiedla Warszawa.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</w:p>
    <w:p w:rsidR="00395815" w:rsidRPr="00395815" w:rsidRDefault="00395815" w:rsidP="00395815">
      <w:pPr>
        <w:pStyle w:val="NormalnyWeb"/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lipcu 2018 roku ATAL wypłacił dywidendę w wysokości </w:t>
      </w:r>
      <w:r w:rsidRPr="00E414BA">
        <w:rPr>
          <w:rFonts w:ascii="Calibri" w:hAnsi="Calibri" w:cs="Calibri"/>
          <w:b/>
        </w:rPr>
        <w:t>3,54 zł na walor, czyli w sumie ok. 137 mln zł</w:t>
      </w:r>
      <w:r>
        <w:rPr>
          <w:rFonts w:ascii="Calibri" w:hAnsi="Calibri" w:cs="Calibri"/>
        </w:rPr>
        <w:t>, co stanowi 80% wyniku netto Grupy.</w:t>
      </w:r>
      <w:r w:rsidRPr="0076014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2017 </w:t>
      </w:r>
      <w:r w:rsidRPr="0076014A">
        <w:rPr>
          <w:rFonts w:ascii="Calibri" w:hAnsi="Calibri" w:cs="Calibri"/>
        </w:rPr>
        <w:t xml:space="preserve">roku ATAL wypłacił dywidendę w wysokości </w:t>
      </w:r>
      <w:r w:rsidRPr="00FD4ADA">
        <w:rPr>
          <w:rFonts w:ascii="Calibri" w:hAnsi="Calibri" w:cs="Calibri"/>
          <w:b/>
        </w:rPr>
        <w:t>1,68 zł na akcję, co łącznie dało kwotę 65 mln zł</w:t>
      </w:r>
      <w:r w:rsidRPr="0076014A">
        <w:rPr>
          <w:rFonts w:ascii="Calibri" w:hAnsi="Calibri" w:cs="Calibri"/>
        </w:rPr>
        <w:t>. Rok wcześniej spółka</w:t>
      </w:r>
      <w:r>
        <w:rPr>
          <w:rFonts w:ascii="Calibri" w:hAnsi="Calibri" w:cs="Calibri"/>
        </w:rPr>
        <w:t xml:space="preserve"> </w:t>
      </w:r>
      <w:r w:rsidRPr="0076014A">
        <w:rPr>
          <w:rFonts w:ascii="Calibri" w:hAnsi="Calibri" w:cs="Calibri"/>
        </w:rPr>
        <w:t>wypłaciła in</w:t>
      </w:r>
      <w:r>
        <w:rPr>
          <w:rFonts w:ascii="Calibri" w:hAnsi="Calibri" w:cs="Calibri"/>
        </w:rPr>
        <w:t xml:space="preserve">westorom </w:t>
      </w:r>
      <w:r w:rsidRPr="00FD4ADA">
        <w:rPr>
          <w:rFonts w:ascii="Calibri" w:hAnsi="Calibri" w:cs="Calibri"/>
          <w:b/>
        </w:rPr>
        <w:t>23,6 mln zł dywidendy</w:t>
      </w:r>
      <w:r>
        <w:rPr>
          <w:rFonts w:ascii="Calibri" w:hAnsi="Calibri" w:cs="Calibri"/>
        </w:rPr>
        <w:t xml:space="preserve">. W kolejnych latach dywidenda wynosić będzie między </w:t>
      </w:r>
      <w:r>
        <w:rPr>
          <w:rFonts w:ascii="Calibri" w:hAnsi="Calibri" w:cs="Calibri"/>
          <w:b/>
          <w:bCs/>
        </w:rPr>
        <w:t>70% a 100% zysku netto za dany rok obrotowy</w:t>
      </w:r>
      <w:r>
        <w:rPr>
          <w:rFonts w:ascii="Calibri" w:hAnsi="Calibri" w:cs="Calibri"/>
        </w:rPr>
        <w:t xml:space="preserve">. </w:t>
      </w:r>
    </w:p>
    <w:p w:rsidR="00B70EBB" w:rsidRDefault="00B70EBB" w:rsidP="00B70EBB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:rsidR="00B70EBB" w:rsidRDefault="00B70EBB" w:rsidP="00B70EBB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6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25-letnie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:rsidR="00B70EBB" w:rsidRDefault="00B70EBB" w:rsidP="00B70EBB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:rsidR="00B70EBB" w:rsidRDefault="00B70EBB" w:rsidP="00B70EBB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7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:rsidR="00B70EBB" w:rsidRDefault="00B70EBB" w:rsidP="00B70EBB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sz w:val="20"/>
          <w:szCs w:val="20"/>
          <w:shd w:val="clear" w:color="auto" w:fill="FFFFFF"/>
        </w:rPr>
        <w:t>Łukasz Borkowski</w:t>
      </w:r>
    </w:p>
    <w:p w:rsidR="00B70EBB" w:rsidRDefault="00B70EBB" w:rsidP="00B70EBB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sz w:val="20"/>
          <w:szCs w:val="20"/>
          <w:shd w:val="clear" w:color="auto" w:fill="FFFFFF"/>
        </w:rPr>
        <w:t>PR&amp;IR Manager</w:t>
      </w:r>
    </w:p>
    <w:p w:rsidR="00B70EBB" w:rsidRDefault="00B70EBB" w:rsidP="00B70EBB">
      <w:pPr>
        <w:spacing w:line="276" w:lineRule="auto"/>
        <w:jc w:val="both"/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519 871 423</w:t>
      </w:r>
    </w:p>
    <w:p w:rsidR="00B70EBB" w:rsidRDefault="00B70EBB" w:rsidP="00B70EBB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Agnieszka Fabich</w:t>
      </w:r>
    </w:p>
    <w:p w:rsidR="00B70EBB" w:rsidRDefault="00B70EBB" w:rsidP="00B70EBB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t>Młodszy Specjalista ds. PR</w:t>
      </w:r>
    </w:p>
    <w:p w:rsidR="00B70EBB" w:rsidRPr="00642AF8" w:rsidRDefault="00B70EBB" w:rsidP="00B70EBB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p w:rsidR="00B70EBB" w:rsidRDefault="00B70EBB" w:rsidP="00B70EBB">
      <w:pPr>
        <w:pStyle w:val="NormalnyWeb"/>
        <w:spacing w:before="240" w:after="120" w:line="276" w:lineRule="auto"/>
        <w:jc w:val="both"/>
        <w:rPr>
          <w:rFonts w:ascii="Calibri" w:hAnsi="Calibri" w:cs="Calibri"/>
          <w:bCs/>
        </w:rPr>
      </w:pPr>
    </w:p>
    <w:p w:rsidR="005A70B8" w:rsidRDefault="005A70B8"/>
    <w:sectPr w:rsidR="005A70B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C0" w:rsidRDefault="00E126C0">
      <w:r>
        <w:separator/>
      </w:r>
    </w:p>
  </w:endnote>
  <w:endnote w:type="continuationSeparator" w:id="0">
    <w:p w:rsidR="00E126C0" w:rsidRDefault="00E1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B" w:rsidRDefault="00E126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F630EB">
      <w:tc>
        <w:tcPr>
          <w:tcW w:w="11309" w:type="dxa"/>
          <w:shd w:val="clear" w:color="auto" w:fill="auto"/>
        </w:tcPr>
        <w:p w:rsidR="00F630EB" w:rsidRDefault="00B70EBB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30EB" w:rsidRDefault="00E126C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B" w:rsidRDefault="00E126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C0" w:rsidRDefault="00E126C0">
      <w:r>
        <w:separator/>
      </w:r>
    </w:p>
  </w:footnote>
  <w:footnote w:type="continuationSeparator" w:id="0">
    <w:p w:rsidR="00E126C0" w:rsidRDefault="00E12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F630EB">
      <w:tc>
        <w:tcPr>
          <w:tcW w:w="11113" w:type="dxa"/>
          <w:shd w:val="clear" w:color="auto" w:fill="auto"/>
        </w:tcPr>
        <w:p w:rsidR="00F630EB" w:rsidRDefault="00B70EBB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30EB" w:rsidRDefault="00E126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0EB" w:rsidRDefault="00E126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BB"/>
    <w:rsid w:val="000326B3"/>
    <w:rsid w:val="000447A7"/>
    <w:rsid w:val="00055829"/>
    <w:rsid w:val="00101A7E"/>
    <w:rsid w:val="00175BDC"/>
    <w:rsid w:val="00275764"/>
    <w:rsid w:val="00387A39"/>
    <w:rsid w:val="0039515A"/>
    <w:rsid w:val="00395815"/>
    <w:rsid w:val="003D3BD4"/>
    <w:rsid w:val="003E07E4"/>
    <w:rsid w:val="00433EEB"/>
    <w:rsid w:val="004F1B97"/>
    <w:rsid w:val="00523074"/>
    <w:rsid w:val="00537906"/>
    <w:rsid w:val="005A70B8"/>
    <w:rsid w:val="006137ED"/>
    <w:rsid w:val="00613AE9"/>
    <w:rsid w:val="007265E3"/>
    <w:rsid w:val="00797B73"/>
    <w:rsid w:val="008D70CD"/>
    <w:rsid w:val="00970CC4"/>
    <w:rsid w:val="00984B0A"/>
    <w:rsid w:val="00A72DB5"/>
    <w:rsid w:val="00B3343A"/>
    <w:rsid w:val="00B44612"/>
    <w:rsid w:val="00B62013"/>
    <w:rsid w:val="00B70EBB"/>
    <w:rsid w:val="00B97EF1"/>
    <w:rsid w:val="00BB3408"/>
    <w:rsid w:val="00C761EA"/>
    <w:rsid w:val="00D260E8"/>
    <w:rsid w:val="00DB4C4C"/>
    <w:rsid w:val="00E126C0"/>
    <w:rsid w:val="00E23B26"/>
    <w:rsid w:val="00E4711B"/>
    <w:rsid w:val="00E50213"/>
    <w:rsid w:val="00E563AA"/>
    <w:rsid w:val="00F61E9F"/>
    <w:rsid w:val="00F757E7"/>
    <w:rsid w:val="00FC2649"/>
    <w:rsid w:val="00FD04F1"/>
    <w:rsid w:val="00FD2EBB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7075F-F49E-4D64-B7A5-F92C13AC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0E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0EBB"/>
    <w:rPr>
      <w:color w:val="000080"/>
      <w:u w:val="single"/>
    </w:rPr>
  </w:style>
  <w:style w:type="paragraph" w:styleId="Nagwek">
    <w:name w:val="header"/>
    <w:basedOn w:val="Normalny"/>
    <w:link w:val="NagwekZnak"/>
    <w:rsid w:val="00B70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0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B70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0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rsid w:val="00B70EBB"/>
    <w:pPr>
      <w:widowControl w:val="0"/>
      <w:spacing w:before="100" w:after="100" w:line="200" w:lineRule="atLeast"/>
    </w:pPr>
    <w:rPr>
      <w:szCs w:val="20"/>
      <w:lang w:eastAsia="hi-IN" w:bidi="hi-IN"/>
    </w:rPr>
  </w:style>
  <w:style w:type="paragraph" w:styleId="Tekstpodstawowy">
    <w:name w:val="Body Text"/>
    <w:basedOn w:val="Normalny"/>
    <w:link w:val="TekstpodstawowyZnak"/>
    <w:rsid w:val="00FE13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E133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Łukasz Borkowski</cp:lastModifiedBy>
  <cp:revision>5</cp:revision>
  <dcterms:created xsi:type="dcterms:W3CDTF">2019-01-10T15:12:00Z</dcterms:created>
  <dcterms:modified xsi:type="dcterms:W3CDTF">2019-01-10T17:08:00Z</dcterms:modified>
</cp:coreProperties>
</file>