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AE" w:rsidRDefault="00E06AAE" w:rsidP="00E06AAE">
      <w:pPr>
        <w:spacing w:before="240" w:after="120" w:line="276" w:lineRule="auto"/>
        <w:jc w:val="right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4D1E9C">
        <w:rPr>
          <w:rFonts w:ascii="Calibri" w:hAnsi="Calibri" w:cs="Calibri"/>
          <w:b/>
          <w:shd w:val="clear" w:color="auto" w:fill="FFFFFF"/>
        </w:rPr>
        <w:t>1 kwietnia</w:t>
      </w:r>
      <w:r>
        <w:rPr>
          <w:rFonts w:ascii="Calibri" w:hAnsi="Calibri" w:cs="Calibri"/>
          <w:b/>
          <w:shd w:val="clear" w:color="auto" w:fill="FFFFFF"/>
        </w:rPr>
        <w:t xml:space="preserve"> 2020 roku</w:t>
      </w:r>
    </w:p>
    <w:p w:rsidR="00E06AAE" w:rsidRDefault="00E06AAE" w:rsidP="00E06AAE">
      <w:pPr>
        <w:spacing w:before="240" w:after="120" w:line="276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zakontraktował </w:t>
      </w:r>
      <w:r w:rsidR="004D1E9C">
        <w:rPr>
          <w:rFonts w:ascii="Calibri" w:hAnsi="Calibri" w:cs="Calibri"/>
          <w:b/>
          <w:sz w:val="40"/>
          <w:szCs w:val="40"/>
          <w:shd w:val="clear" w:color="auto" w:fill="FFFFFF"/>
        </w:rPr>
        <w:t>762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lokal</w:t>
      </w:r>
      <w:r w:rsidR="004D1E9C">
        <w:rPr>
          <w:rFonts w:ascii="Calibri" w:hAnsi="Calibri" w:cs="Calibri"/>
          <w:b/>
          <w:sz w:val="40"/>
          <w:szCs w:val="40"/>
          <w:shd w:val="clear" w:color="auto" w:fill="FFFFFF"/>
        </w:rPr>
        <w:t>e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w</w:t>
      </w:r>
      <w:r w:rsidR="004D1E9C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Q1 2020</w:t>
      </w:r>
    </w:p>
    <w:p w:rsidR="006B64A3" w:rsidRDefault="00E06AAE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– ogólnopolski deweloper – w </w:t>
      </w:r>
      <w:r w:rsidR="004D1E9C">
        <w:rPr>
          <w:rFonts w:ascii="Calibri" w:hAnsi="Calibri" w:cs="Calibri"/>
          <w:b/>
          <w:bCs/>
        </w:rPr>
        <w:t>pierwszym kwartale 2020</w:t>
      </w:r>
      <w:r>
        <w:rPr>
          <w:rFonts w:ascii="Calibri" w:hAnsi="Calibri" w:cs="Calibri"/>
          <w:b/>
          <w:bCs/>
        </w:rPr>
        <w:t xml:space="preserve"> roku zakontraktował </w:t>
      </w:r>
      <w:r w:rsidR="004D1E9C">
        <w:rPr>
          <w:rFonts w:ascii="Calibri" w:hAnsi="Calibri" w:cs="Calibri"/>
          <w:b/>
          <w:bCs/>
        </w:rPr>
        <w:t xml:space="preserve">762 </w:t>
      </w:r>
      <w:r w:rsidRPr="00593065">
        <w:rPr>
          <w:rFonts w:ascii="Calibri" w:hAnsi="Calibri" w:cs="Calibri"/>
          <w:b/>
          <w:bCs/>
        </w:rPr>
        <w:t>lokal</w:t>
      </w:r>
      <w:r w:rsidR="004D1E9C">
        <w:rPr>
          <w:rFonts w:ascii="Calibri" w:hAnsi="Calibri" w:cs="Calibri"/>
          <w:b/>
          <w:bCs/>
        </w:rPr>
        <w:t>e</w:t>
      </w:r>
      <w:r w:rsidR="003D7DC5">
        <w:rPr>
          <w:rFonts w:ascii="Calibri" w:hAnsi="Calibri" w:cs="Calibri"/>
          <w:b/>
          <w:bCs/>
        </w:rPr>
        <w:t xml:space="preserve"> wobec 707 lokali przed rokiem</w:t>
      </w:r>
      <w:r w:rsidR="00BC6C06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Najwięcej umów deweloperskich podpisano </w:t>
      </w:r>
      <w:r w:rsidRPr="00593065">
        <w:rPr>
          <w:rFonts w:ascii="Calibri" w:hAnsi="Calibri" w:cs="Calibri"/>
          <w:b/>
          <w:bCs/>
        </w:rPr>
        <w:t xml:space="preserve">w </w:t>
      </w:r>
      <w:r w:rsidR="00366C68" w:rsidRPr="00593065">
        <w:rPr>
          <w:rFonts w:ascii="Calibri" w:hAnsi="Calibri" w:cs="Calibri"/>
          <w:b/>
          <w:bCs/>
        </w:rPr>
        <w:t>Krakowie (</w:t>
      </w:r>
      <w:r w:rsidR="00490FE9">
        <w:rPr>
          <w:rFonts w:ascii="Calibri" w:hAnsi="Calibri" w:cs="Calibri"/>
          <w:b/>
          <w:bCs/>
        </w:rPr>
        <w:t>186</w:t>
      </w:r>
      <w:r w:rsidR="00366C68" w:rsidRPr="00593065">
        <w:rPr>
          <w:rFonts w:ascii="Calibri" w:hAnsi="Calibri" w:cs="Calibri"/>
          <w:b/>
          <w:bCs/>
        </w:rPr>
        <w:t>)</w:t>
      </w:r>
      <w:r w:rsidR="00490FE9">
        <w:rPr>
          <w:rFonts w:ascii="Calibri" w:hAnsi="Calibri" w:cs="Calibri"/>
          <w:b/>
          <w:bCs/>
        </w:rPr>
        <w:t xml:space="preserve">, Poznaniu (155) i Warszawie (134). </w:t>
      </w:r>
      <w:bookmarkStart w:id="0" w:name="_GoBack"/>
      <w:r w:rsidR="00051347">
        <w:rPr>
          <w:rFonts w:ascii="Calibri" w:hAnsi="Calibri" w:cs="Calibri"/>
          <w:b/>
          <w:bCs/>
        </w:rPr>
        <w:t>Spółka nie zmienia celu sprzedażowego</w:t>
      </w:r>
      <w:r w:rsidR="00051347" w:rsidRPr="00051347">
        <w:rPr>
          <w:rFonts w:ascii="Calibri" w:hAnsi="Calibri" w:cs="Calibri"/>
          <w:b/>
          <w:bCs/>
        </w:rPr>
        <w:t xml:space="preserve"> </w:t>
      </w:r>
      <w:r w:rsidR="00051347">
        <w:rPr>
          <w:rFonts w:ascii="Calibri" w:hAnsi="Calibri" w:cs="Calibri"/>
          <w:b/>
          <w:bCs/>
        </w:rPr>
        <w:t>na ten rok do</w:t>
      </w:r>
      <w:r w:rsidR="00051347" w:rsidRPr="00051347">
        <w:rPr>
          <w:rFonts w:ascii="Calibri" w:hAnsi="Calibri" w:cs="Calibri"/>
          <w:b/>
          <w:bCs/>
        </w:rPr>
        <w:t xml:space="preserve"> zakończenia </w:t>
      </w:r>
      <w:r w:rsidR="00051347">
        <w:rPr>
          <w:rFonts w:ascii="Calibri" w:hAnsi="Calibri" w:cs="Calibri"/>
          <w:b/>
          <w:bCs/>
        </w:rPr>
        <w:t>epidemii, wówczas nastąpi jego weryfikacja.</w:t>
      </w:r>
      <w:bookmarkEnd w:id="0"/>
    </w:p>
    <w:p w:rsidR="00490FE9" w:rsidRPr="00E40D44" w:rsidRDefault="00490FE9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DA714B">
        <w:rPr>
          <w:rFonts w:ascii="Calibri" w:hAnsi="Calibri" w:cs="Calibri"/>
          <w:bCs/>
        </w:rPr>
        <w:t xml:space="preserve">Spółka przygląda i przystosowuje się do nowych okoliczności związanych z wpływem zagrożenia epidemicznego. Obecnie jest </w:t>
      </w:r>
      <w:r w:rsidR="003D7DC5">
        <w:rPr>
          <w:rFonts w:ascii="Calibri" w:hAnsi="Calibri" w:cs="Calibri"/>
          <w:bCs/>
        </w:rPr>
        <w:t>za</w:t>
      </w:r>
      <w:r w:rsidRPr="00DA714B">
        <w:rPr>
          <w:rFonts w:ascii="Calibri" w:hAnsi="Calibri" w:cs="Calibri"/>
          <w:bCs/>
        </w:rPr>
        <w:t xml:space="preserve"> wcześnie na właściwą ocenę sytuacji oraz prognozowanie potencjalnych zagrożeń dla gospodarki. Trudno bowiem przewidzieć wszystkie możliwe skutki </w:t>
      </w:r>
      <w:r w:rsidR="003D7DC5">
        <w:rPr>
          <w:rFonts w:ascii="Calibri" w:hAnsi="Calibri" w:cs="Calibri"/>
          <w:bCs/>
        </w:rPr>
        <w:t>oraz</w:t>
      </w:r>
      <w:r w:rsidRPr="00DA714B">
        <w:rPr>
          <w:rFonts w:ascii="Calibri" w:hAnsi="Calibri" w:cs="Calibri"/>
          <w:bCs/>
        </w:rPr>
        <w:t xml:space="preserve"> czas, w jakim </w:t>
      </w:r>
      <w:proofErr w:type="spellStart"/>
      <w:r w:rsidRPr="00DA714B">
        <w:rPr>
          <w:rFonts w:ascii="Calibri" w:hAnsi="Calibri" w:cs="Calibri"/>
          <w:bCs/>
        </w:rPr>
        <w:t>koronawirus</w:t>
      </w:r>
      <w:proofErr w:type="spellEnd"/>
      <w:r w:rsidRPr="00DA714B">
        <w:rPr>
          <w:rFonts w:ascii="Calibri" w:hAnsi="Calibri" w:cs="Calibri"/>
          <w:bCs/>
        </w:rPr>
        <w:t xml:space="preserve"> będzie wpływał na znajdujący się dotychczas w wysokiej fazie aktywności rynek nieruchomości.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E06AAE" w:rsidTr="00D90904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MIESIĘCY)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Miesiąc</w:t>
            </w:r>
          </w:p>
        </w:tc>
        <w:tc>
          <w:tcPr>
            <w:tcW w:w="6637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Styczeń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269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Luty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253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240</w:t>
            </w:r>
          </w:p>
        </w:tc>
      </w:tr>
      <w:tr w:rsidR="00E06AAE" w:rsidTr="003241F0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3241F0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762</w:t>
            </w:r>
          </w:p>
        </w:tc>
      </w:tr>
    </w:tbl>
    <w:p w:rsidR="006B64A3" w:rsidRPr="00F918E9" w:rsidRDefault="006B64A3" w:rsidP="00CC5B21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E06AAE" w:rsidTr="00D90904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MIAST)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3241F0" w:rsidP="00D90904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06AAE" w:rsidTr="00D90904">
        <w:trPr>
          <w:trHeight w:val="261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E06AAE" w:rsidTr="00D90904">
        <w:trPr>
          <w:trHeight w:val="261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E06AAE" w:rsidTr="00D90904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:rsidR="00E06AAE" w:rsidRPr="00100BA2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762</w:t>
            </w:r>
          </w:p>
        </w:tc>
      </w:tr>
    </w:tbl>
    <w:p w:rsidR="003D7DC5" w:rsidRDefault="003D7DC5" w:rsidP="003D7DC5">
      <w:pPr>
        <w:spacing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</w:p>
    <w:p w:rsidR="003D7DC5" w:rsidRPr="00DA714B" w:rsidRDefault="003D7DC5" w:rsidP="003D7DC5">
      <w:pPr>
        <w:spacing w:after="120" w:line="276" w:lineRule="auto"/>
        <w:jc w:val="both"/>
        <w:rPr>
          <w:rFonts w:ascii="Calibri" w:hAnsi="Calibri" w:cs="Calibri"/>
          <w:bCs/>
        </w:rPr>
      </w:pPr>
      <w:r w:rsidRPr="003D7DC5">
        <w:rPr>
          <w:rFonts w:ascii="Calibri" w:hAnsi="Calibri" w:cs="Calibri"/>
          <w:b/>
          <w:shd w:val="clear" w:color="auto" w:fill="FFFFFF"/>
        </w:rPr>
        <w:t>Spółka w 2019 roku, po wydaniu 1769 lokali, wygenerowała skonsolidowane przychody na poziomie 720,2 mln zł.</w:t>
      </w:r>
      <w:r w:rsidRPr="003D7DC5">
        <w:rPr>
          <w:rFonts w:ascii="Calibri" w:hAnsi="Calibri" w:cs="Calibri"/>
          <w:shd w:val="clear" w:color="auto" w:fill="FFFFFF"/>
        </w:rPr>
        <w:t xml:space="preserve"> W tym samym okresie sprawozdawczym spółka wypracowała 113,6 mln zł zysku netto </w:t>
      </w:r>
      <w:r w:rsidRPr="003D7DC5">
        <w:rPr>
          <w:rFonts w:ascii="Calibri" w:hAnsi="Calibri" w:cs="Calibri"/>
          <w:bCs/>
        </w:rPr>
        <w:t>przypadającego akcjonariuszom jednostki dominującej</w:t>
      </w:r>
      <w:r w:rsidRPr="003D7DC5">
        <w:rPr>
          <w:rFonts w:ascii="Calibri" w:hAnsi="Calibri" w:cs="Calibri"/>
          <w:shd w:val="clear" w:color="auto" w:fill="FFFFFF"/>
        </w:rPr>
        <w:t>. Marża brutto ze sprzedaży wyniosła 24%, natomiast marża netto 16%.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F0A3A">
        <w:rPr>
          <w:rFonts w:ascii="Calibri" w:hAnsi="Calibri" w:cs="Calibri"/>
          <w:b/>
          <w:shd w:val="clear" w:color="auto" w:fill="FFFFFF"/>
        </w:rPr>
        <w:t xml:space="preserve">ATAL </w:t>
      </w:r>
      <w:r w:rsidRPr="006F0A3A">
        <w:rPr>
          <w:rFonts w:ascii="Calibri" w:hAnsi="Calibri" w:cs="Calibri"/>
          <w:b/>
          <w:bCs/>
        </w:rPr>
        <w:t>zmienił jednorazowo politykę dywidendy odnośnie zysku wypracowanego w 2019 roku.</w:t>
      </w:r>
      <w:r>
        <w:rPr>
          <w:rFonts w:ascii="Calibri" w:hAnsi="Calibri" w:cs="Calibri"/>
          <w:bCs/>
        </w:rPr>
        <w:t xml:space="preserve"> Zarząd – w związku z sytuacją będzie rekomendował przekazanie wyniku z zeszłego roku na kapitał zapasowy.</w:t>
      </w:r>
    </w:p>
    <w:p w:rsidR="00490FE9" w:rsidRPr="000A7E26" w:rsidRDefault="00490FE9" w:rsidP="00490FE9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ATAL w </w:t>
      </w:r>
      <w:r w:rsidRPr="002423BB">
        <w:rPr>
          <w:rFonts w:ascii="Calibri" w:hAnsi="Calibri" w:cs="Calibri"/>
          <w:b/>
          <w:bCs/>
        </w:rPr>
        <w:t>201</w:t>
      </w:r>
      <w:r>
        <w:rPr>
          <w:rFonts w:ascii="Calibri" w:hAnsi="Calibri" w:cs="Calibri"/>
          <w:b/>
          <w:bCs/>
        </w:rPr>
        <w:t xml:space="preserve">9 roku zakontraktował rekordową liczbę </w:t>
      </w:r>
      <w:r w:rsidRPr="00593065">
        <w:rPr>
          <w:rFonts w:ascii="Calibri" w:hAnsi="Calibri" w:cs="Calibri"/>
          <w:b/>
          <w:bCs/>
        </w:rPr>
        <w:t>319</w:t>
      </w:r>
      <w:r>
        <w:rPr>
          <w:rFonts w:ascii="Calibri" w:hAnsi="Calibri" w:cs="Calibri"/>
          <w:b/>
          <w:bCs/>
        </w:rPr>
        <w:t>6</w:t>
      </w:r>
      <w:r w:rsidRPr="00593065">
        <w:rPr>
          <w:rFonts w:ascii="Calibri" w:hAnsi="Calibri" w:cs="Calibri"/>
          <w:b/>
          <w:bCs/>
        </w:rPr>
        <w:t xml:space="preserve"> lokal</w:t>
      </w:r>
      <w:r>
        <w:rPr>
          <w:rFonts w:ascii="Calibri" w:hAnsi="Calibri" w:cs="Calibri"/>
          <w:b/>
          <w:bCs/>
        </w:rPr>
        <w:t>i. To 32% więcej niż przed rokiem (</w:t>
      </w:r>
      <w:r w:rsidRPr="00113E91">
        <w:rPr>
          <w:rFonts w:ascii="Calibri" w:hAnsi="Calibri" w:cs="Calibri"/>
          <w:b/>
          <w:bCs/>
        </w:rPr>
        <w:t>2420</w:t>
      </w:r>
      <w:r>
        <w:rPr>
          <w:rFonts w:ascii="Calibri" w:hAnsi="Calibri" w:cs="Calibri"/>
          <w:b/>
          <w:bCs/>
        </w:rPr>
        <w:t>) i blisko 15% więcej niż w 2017 roku (2787).</w:t>
      </w:r>
      <w:r w:rsidRPr="000A7E26">
        <w:rPr>
          <w:rFonts w:ascii="Calibri" w:hAnsi="Calibri" w:cs="Calibri"/>
          <w:bCs/>
        </w:rPr>
        <w:t xml:space="preserve"> Najwięcej umów deweloperskich podpisano w Warszawie (638), Krakowie (583) i Łodzi (505). Założenia spółki na 2020 rok przewidują, że sprzedaż pozostanie na wysokim poziomie – zbliżonym do wyniku z 2019 roku. </w:t>
      </w:r>
    </w:p>
    <w:p w:rsidR="00490FE9" w:rsidRPr="00BA7689" w:rsidRDefault="00490FE9" w:rsidP="00490FE9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trakcie 2019 roku ATAL wprowadził do sprzedaży w sumie </w:t>
      </w:r>
      <w:r w:rsidRPr="0036403C">
        <w:rPr>
          <w:rFonts w:ascii="Calibri" w:hAnsi="Calibri" w:cs="Calibri"/>
          <w:b/>
          <w:bCs/>
        </w:rPr>
        <w:t>20 projektów z 2794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Drewnowska 43 III, Chojny Park etapy IV i V oraz Nowe Miasto Polesie, we Wrocławiu ATAL Oporów, Nowe Miasto Jagodno etap I oraz II i Nowe Miasto Różanka V, w Krakowie kolejne etapy ATAL Kliny Zacisze (III i IV), Bronowice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Residence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VI, ATAL Aleja Pokoju etapy IIIA i IV oraz Apartamenty Przybyszewskiego III, w Poznaniu Ptasia 20 oraz Apartamenty Dmowskiego, w Warszawie Nowa Grochowska etapy II i III oraz Apartamenty Ostródzka, w aglomeracji śląskiej Apartamenty Karolinki I.</w:t>
      </w:r>
    </w:p>
    <w:p w:rsidR="00490FE9" w:rsidRDefault="00490FE9" w:rsidP="00490FE9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9F4469">
        <w:rPr>
          <w:rFonts w:ascii="Calibri" w:hAnsi="Calibri" w:cs="Calibri"/>
          <w:shd w:val="clear" w:color="auto" w:fill="FFFFFF"/>
        </w:rPr>
        <w:t xml:space="preserve">Spółka </w:t>
      </w:r>
      <w:r w:rsidRPr="009F4469">
        <w:rPr>
          <w:rFonts w:ascii="Calibri" w:hAnsi="Calibri" w:cs="Calibri"/>
          <w:b/>
          <w:shd w:val="clear" w:color="auto" w:fill="FFFFFF"/>
        </w:rPr>
        <w:t>ATAL Development GmbH</w:t>
      </w:r>
      <w:r>
        <w:rPr>
          <w:rFonts w:ascii="Calibri" w:hAnsi="Calibri" w:cs="Calibri"/>
          <w:shd w:val="clear" w:color="auto" w:fill="FFFFFF"/>
        </w:rPr>
        <w:t xml:space="preserve"> – w której ATAL</w:t>
      </w:r>
      <w:r w:rsidRPr="009F4469">
        <w:rPr>
          <w:rFonts w:ascii="Calibri" w:hAnsi="Calibri" w:cs="Calibri"/>
          <w:shd w:val="clear" w:color="auto" w:fill="FFFFFF"/>
        </w:rPr>
        <w:t xml:space="preserve"> posiada 49%, udziałów, a </w:t>
      </w:r>
      <w:proofErr w:type="spellStart"/>
      <w:r w:rsidRPr="009F4469">
        <w:rPr>
          <w:rFonts w:ascii="Calibri" w:hAnsi="Calibri" w:cs="Calibri"/>
          <w:shd w:val="clear" w:color="auto" w:fill="FFFFFF"/>
        </w:rPr>
        <w:t>Juroszek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F4469">
        <w:rPr>
          <w:rFonts w:ascii="Calibri" w:hAnsi="Calibri" w:cs="Calibri"/>
          <w:shd w:val="clear" w:color="auto" w:fill="FFFFFF"/>
        </w:rPr>
        <w:t>Investments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Sp. z o.o. 51% udziałów – </w:t>
      </w:r>
      <w:r w:rsidRPr="009F4469">
        <w:rPr>
          <w:rFonts w:ascii="Calibri" w:hAnsi="Calibri" w:cs="Calibri"/>
          <w:b/>
          <w:shd w:val="clear" w:color="auto" w:fill="FFFFFF"/>
        </w:rPr>
        <w:t>zawarła warunkową umowę nabycia gruntu pod budownictwo mieszkaniowe dla inwestycji wieloetapowej znajdującej się na terenie Drezna</w:t>
      </w:r>
      <w:r w:rsidRPr="009F4469">
        <w:rPr>
          <w:rFonts w:ascii="Calibri" w:hAnsi="Calibri" w:cs="Calibri"/>
          <w:shd w:val="clear" w:color="auto" w:fill="FFFFFF"/>
        </w:rPr>
        <w:t xml:space="preserve">. Umowa zakupu o wartości </w:t>
      </w:r>
      <w:r w:rsidRPr="009F4469">
        <w:rPr>
          <w:rFonts w:ascii="Calibri" w:hAnsi="Calibri" w:cs="Calibri"/>
          <w:b/>
          <w:shd w:val="clear" w:color="auto" w:fill="FFFFFF"/>
        </w:rPr>
        <w:t>44,25 mln EUR</w:t>
      </w:r>
      <w:r w:rsidRPr="009F4469">
        <w:rPr>
          <w:rFonts w:ascii="Calibri" w:hAnsi="Calibri" w:cs="Calibri"/>
          <w:shd w:val="clear" w:color="auto" w:fill="FFFFFF"/>
        </w:rPr>
        <w:t xml:space="preserve"> </w:t>
      </w:r>
      <w:r w:rsidRPr="000E1073">
        <w:rPr>
          <w:rFonts w:ascii="Calibri" w:hAnsi="Calibri" w:cs="Calibri"/>
        </w:rPr>
        <w:t>zrealizowana została etapami, a całkowite zamknięcie</w:t>
      </w:r>
      <w:r>
        <w:rPr>
          <w:rFonts w:ascii="Calibri" w:hAnsi="Calibri" w:cs="Calibri"/>
        </w:rPr>
        <w:t xml:space="preserve"> transakcji nastąpiło w styczniu</w:t>
      </w:r>
      <w:r w:rsidRPr="000E1073">
        <w:rPr>
          <w:rFonts w:ascii="Calibri" w:hAnsi="Calibri" w:cs="Calibri"/>
        </w:rPr>
        <w:t xml:space="preserve"> 2020 roku.</w:t>
      </w:r>
    </w:p>
    <w:p w:rsidR="00490FE9" w:rsidRPr="00B41980" w:rsidRDefault="00490FE9" w:rsidP="00490FE9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 xml:space="preserve">Oba biurowce zdobyły certyfikat BREEAM </w:t>
      </w:r>
      <w:proofErr w:type="spellStart"/>
      <w:r w:rsidRPr="006D5D65">
        <w:rPr>
          <w:rFonts w:ascii="Calibri" w:hAnsi="Calibri" w:cs="Calibri"/>
          <w:b/>
        </w:rPr>
        <w:t>Very</w:t>
      </w:r>
      <w:proofErr w:type="spellEnd"/>
      <w:r w:rsidRPr="006D5D65">
        <w:rPr>
          <w:rFonts w:ascii="Calibri" w:hAnsi="Calibri" w:cs="Calibri"/>
          <w:b/>
        </w:rPr>
        <w:t xml:space="preserve"> Good dla Design </w:t>
      </w:r>
      <w:proofErr w:type="spellStart"/>
      <w:r w:rsidRPr="006D5D65">
        <w:rPr>
          <w:rFonts w:ascii="Calibri" w:hAnsi="Calibri" w:cs="Calibri"/>
          <w:b/>
        </w:rPr>
        <w:t>Stage</w:t>
      </w:r>
      <w:proofErr w:type="spellEnd"/>
      <w:r w:rsidRPr="006D5D65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 xml:space="preserve">Deweloper planuje kolejne projekty w innych lokalizacjach. Spółka </w:t>
      </w:r>
      <w:proofErr w:type="spellStart"/>
      <w:r w:rsidRPr="003315E3">
        <w:rPr>
          <w:rFonts w:ascii="Calibri" w:hAnsi="Calibri" w:cs="Calibri"/>
        </w:rPr>
        <w:t>uruch</w:t>
      </w:r>
      <w:r>
        <w:rPr>
          <w:rFonts w:ascii="Calibri" w:hAnsi="Calibri" w:cs="Calibri"/>
        </w:rPr>
        <w:t>iła</w:t>
      </w:r>
      <w:proofErr w:type="spellEnd"/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:rsidR="00490FE9" w:rsidRDefault="00490FE9" w:rsidP="00490FE9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:rsidR="00490FE9" w:rsidRDefault="00490FE9" w:rsidP="00490FE9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:rsidR="00490FE9" w:rsidRDefault="00490FE9" w:rsidP="00490FE9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490FE9" w:rsidRPr="00DA0212" w:rsidRDefault="00490FE9" w:rsidP="00490FE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:rsidR="00490FE9" w:rsidRPr="00DA0212" w:rsidRDefault="00490FE9" w:rsidP="00490FE9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:rsidR="00490FE9" w:rsidRPr="00DA0212" w:rsidRDefault="00490FE9" w:rsidP="00490FE9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:rsidR="00490FE9" w:rsidRPr="00642AF8" w:rsidRDefault="00490FE9" w:rsidP="00490FE9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490FE9" w:rsidRPr="00642A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E4" w:rsidRDefault="00A405E4">
      <w:r>
        <w:separator/>
      </w:r>
    </w:p>
  </w:endnote>
  <w:endnote w:type="continuationSeparator" w:id="0">
    <w:p w:rsidR="00A405E4" w:rsidRDefault="00A4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A40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>
      <w:tc>
        <w:tcPr>
          <w:tcW w:w="11309" w:type="dxa"/>
          <w:shd w:val="clear" w:color="auto" w:fill="auto"/>
        </w:tcPr>
        <w:p w:rsidR="00354AD2" w:rsidRDefault="00E06AAE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A405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A405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E4" w:rsidRDefault="00A405E4">
      <w:r>
        <w:separator/>
      </w:r>
    </w:p>
  </w:footnote>
  <w:footnote w:type="continuationSeparator" w:id="0">
    <w:p w:rsidR="00A405E4" w:rsidRDefault="00A4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>
      <w:tc>
        <w:tcPr>
          <w:tcW w:w="11113" w:type="dxa"/>
          <w:shd w:val="clear" w:color="auto" w:fill="auto"/>
        </w:tcPr>
        <w:p w:rsidR="00354AD2" w:rsidRDefault="00E06AA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A405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A405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E"/>
    <w:rsid w:val="00027030"/>
    <w:rsid w:val="000326E5"/>
    <w:rsid w:val="00051347"/>
    <w:rsid w:val="0007715A"/>
    <w:rsid w:val="000A30FC"/>
    <w:rsid w:val="000A5C32"/>
    <w:rsid w:val="000D2924"/>
    <w:rsid w:val="000E6FAB"/>
    <w:rsid w:val="00113E91"/>
    <w:rsid w:val="00114BAA"/>
    <w:rsid w:val="00142A15"/>
    <w:rsid w:val="001C4738"/>
    <w:rsid w:val="001D395E"/>
    <w:rsid w:val="001E008C"/>
    <w:rsid w:val="001E3ED1"/>
    <w:rsid w:val="00207C1A"/>
    <w:rsid w:val="00233A8E"/>
    <w:rsid w:val="00297627"/>
    <w:rsid w:val="002A6A08"/>
    <w:rsid w:val="003235CD"/>
    <w:rsid w:val="003241F0"/>
    <w:rsid w:val="00342743"/>
    <w:rsid w:val="0036403C"/>
    <w:rsid w:val="00366C68"/>
    <w:rsid w:val="0039622D"/>
    <w:rsid w:val="003D7DC5"/>
    <w:rsid w:val="003F29BF"/>
    <w:rsid w:val="00490FE9"/>
    <w:rsid w:val="004A7964"/>
    <w:rsid w:val="004D1E9C"/>
    <w:rsid w:val="00510F9A"/>
    <w:rsid w:val="00522C99"/>
    <w:rsid w:val="00532652"/>
    <w:rsid w:val="0056657A"/>
    <w:rsid w:val="00593065"/>
    <w:rsid w:val="005B3342"/>
    <w:rsid w:val="005D4336"/>
    <w:rsid w:val="005D4B85"/>
    <w:rsid w:val="00645E8B"/>
    <w:rsid w:val="00660DA3"/>
    <w:rsid w:val="00661A06"/>
    <w:rsid w:val="00674FFB"/>
    <w:rsid w:val="006B163E"/>
    <w:rsid w:val="006B64A3"/>
    <w:rsid w:val="006D5D65"/>
    <w:rsid w:val="006F0A3A"/>
    <w:rsid w:val="0072241E"/>
    <w:rsid w:val="00743890"/>
    <w:rsid w:val="00744AD9"/>
    <w:rsid w:val="00754DC3"/>
    <w:rsid w:val="00766BBF"/>
    <w:rsid w:val="0077443C"/>
    <w:rsid w:val="007759D8"/>
    <w:rsid w:val="007D4755"/>
    <w:rsid w:val="008135A4"/>
    <w:rsid w:val="00820CB7"/>
    <w:rsid w:val="0085733E"/>
    <w:rsid w:val="0088196F"/>
    <w:rsid w:val="008D6005"/>
    <w:rsid w:val="008E275F"/>
    <w:rsid w:val="008E55FA"/>
    <w:rsid w:val="008E7BD3"/>
    <w:rsid w:val="0090026E"/>
    <w:rsid w:val="009337D4"/>
    <w:rsid w:val="00984788"/>
    <w:rsid w:val="00996BFE"/>
    <w:rsid w:val="009C736A"/>
    <w:rsid w:val="009D3AC9"/>
    <w:rsid w:val="009D61C7"/>
    <w:rsid w:val="009E1191"/>
    <w:rsid w:val="00A279ED"/>
    <w:rsid w:val="00A34072"/>
    <w:rsid w:val="00A348A5"/>
    <w:rsid w:val="00A405E4"/>
    <w:rsid w:val="00A50A0D"/>
    <w:rsid w:val="00A55043"/>
    <w:rsid w:val="00A94813"/>
    <w:rsid w:val="00B03149"/>
    <w:rsid w:val="00B3127D"/>
    <w:rsid w:val="00B41980"/>
    <w:rsid w:val="00B534F7"/>
    <w:rsid w:val="00BA7689"/>
    <w:rsid w:val="00BC6C06"/>
    <w:rsid w:val="00BF4404"/>
    <w:rsid w:val="00C1669F"/>
    <w:rsid w:val="00C21C15"/>
    <w:rsid w:val="00C53965"/>
    <w:rsid w:val="00C60D83"/>
    <w:rsid w:val="00C73B57"/>
    <w:rsid w:val="00C93968"/>
    <w:rsid w:val="00C9474C"/>
    <w:rsid w:val="00CC3883"/>
    <w:rsid w:val="00CC5B21"/>
    <w:rsid w:val="00D05E75"/>
    <w:rsid w:val="00D36713"/>
    <w:rsid w:val="00DA4FD8"/>
    <w:rsid w:val="00DB72D0"/>
    <w:rsid w:val="00E06AAE"/>
    <w:rsid w:val="00E40D44"/>
    <w:rsid w:val="00E7303A"/>
    <w:rsid w:val="00ED49B7"/>
    <w:rsid w:val="00EE41A2"/>
    <w:rsid w:val="00EF77D0"/>
    <w:rsid w:val="00F01702"/>
    <w:rsid w:val="00F07780"/>
    <w:rsid w:val="00F650BC"/>
    <w:rsid w:val="00F918E9"/>
    <w:rsid w:val="00FA772B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AFA9-3B6A-4F37-8181-84BF4E7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6AAE"/>
    <w:rPr>
      <w:color w:val="000080"/>
      <w:u w:val="single"/>
    </w:rPr>
  </w:style>
  <w:style w:type="paragraph" w:styleId="Nagwek">
    <w:name w:val="header"/>
    <w:basedOn w:val="Normalny"/>
    <w:link w:val="NagwekZnak"/>
    <w:rsid w:val="00E06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6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E06AAE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99</cp:revision>
  <dcterms:created xsi:type="dcterms:W3CDTF">2019-12-31T10:24:00Z</dcterms:created>
  <dcterms:modified xsi:type="dcterms:W3CDTF">2020-04-01T15:15:00Z</dcterms:modified>
</cp:coreProperties>
</file>