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670" w14:textId="77777777" w:rsidR="00982AB5" w:rsidRPr="004F177C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E53202" wp14:editId="7DBC3776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D98A0" w14:textId="77777777" w:rsidR="00982AB5" w:rsidRPr="004F177C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4505F9" w14:textId="77777777" w:rsidR="00982AB5" w:rsidRDefault="00982AB5" w:rsidP="00982AB5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902DEC1" w14:textId="2B636B21" w:rsidR="00982AB5" w:rsidRPr="00DB224F" w:rsidRDefault="00982AB5" w:rsidP="00982AB5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 w:rsidR="00F44574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22 kwietnia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 w:rsidR="00F44574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4E28358E" w14:textId="25F6F49E" w:rsidR="00982AB5" w:rsidRDefault="00F44574" w:rsidP="00982AB5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II etap </w:t>
      </w:r>
      <w:r w:rsidR="00982AB5">
        <w:rPr>
          <w:rFonts w:ascii="Calibri" w:eastAsia="Calibri" w:hAnsi="Calibri" w:cs="Calibri"/>
          <w:b/>
          <w:bCs/>
          <w:sz w:val="48"/>
          <w:szCs w:val="48"/>
        </w:rPr>
        <w:t>Bursztynow</w:t>
      </w:r>
      <w:r>
        <w:rPr>
          <w:rFonts w:ascii="Calibri" w:eastAsia="Calibri" w:hAnsi="Calibri" w:cs="Calibri"/>
          <w:b/>
          <w:bCs/>
          <w:sz w:val="48"/>
          <w:szCs w:val="48"/>
        </w:rPr>
        <w:t>ej</w:t>
      </w:r>
      <w:r w:rsidR="00982AB5">
        <w:rPr>
          <w:rFonts w:ascii="Calibri" w:eastAsia="Calibri" w:hAnsi="Calibri" w:cs="Calibri"/>
          <w:b/>
          <w:bCs/>
          <w:sz w:val="48"/>
          <w:szCs w:val="48"/>
        </w:rPr>
        <w:t xml:space="preserve"> Zatok</w:t>
      </w:r>
      <w:r>
        <w:rPr>
          <w:rFonts w:ascii="Calibri" w:eastAsia="Calibri" w:hAnsi="Calibri" w:cs="Calibri"/>
          <w:b/>
          <w:bCs/>
          <w:sz w:val="48"/>
          <w:szCs w:val="48"/>
        </w:rPr>
        <w:t>i w sprzedaży</w:t>
      </w:r>
      <w:r w:rsidR="00852FD5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0DA5AB33" w14:textId="7020AF24" w:rsidR="00433582" w:rsidRPr="00433582" w:rsidRDefault="00982AB5" w:rsidP="00E64E3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rozpoczął sprzedaż 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323 mieszkań oraz 6 lokali usługowych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ramach 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drugiej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części osiedla Bursztynowa Zatoka. To projekt </w:t>
      </w:r>
      <w:r w:rsidR="00EB77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zlokalizowany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przy ul.</w:t>
      </w:r>
      <w:r w:rsidR="00A6354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Starowiejskiej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na Letnicy</w:t>
      </w:r>
      <w:r w:rsidR="00EB77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="005312E8" w:rsidRPr="00982AB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nieopodal Zatoki Gdańskiej.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Funkcjonalna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architektura, atrakcyjnie zaplanowana przestrzeń wspólna z ogrodami deszczowymi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lokalizacja w dynamicznie rozwijającej się dzielnicy o rosnącym prestiżu</w:t>
      </w:r>
      <w:r w:rsidR="005312E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oraz komfortowa komunikacja </w:t>
      </w:r>
      <w:r w:rsidR="00852FD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sprawiają, że osiedle jest </w:t>
      </w:r>
      <w:r w:rsidR="00EB77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doskonałą</w:t>
      </w:r>
      <w:r w:rsidR="00852FD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propozycją dla poszukujących lokum w 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Gdańsku</w:t>
      </w:r>
      <w:r w:rsidR="00852FD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7443B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Przekazanie mieszkań planowane jest na </w:t>
      </w:r>
      <w:r w:rsidR="00D91EC6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czwarty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66CF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kwartał 202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4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roku. Ceny mieszkań za mkw. zaczynają się od </w:t>
      </w:r>
      <w:r w:rsidR="00F4457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10 500</w:t>
      </w:r>
      <w:r w:rsidR="0089058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złotych brutto.  </w:t>
      </w:r>
    </w:p>
    <w:p w14:paraId="76E3CBE5" w14:textId="362DA6B3" w:rsidR="00330EE4" w:rsidRDefault="00F44574" w:rsidP="00E64E38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dańska</w:t>
      </w:r>
      <w:r w:rsidR="00982AB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inwestycja ATAL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docelowo składać się będzie z sześciu budynków, które powstaną w dwóch etapach. W pierwszej części zaplanowano realizację dwóch budynków, w których powsta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je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148 mieszkań oraz 4 lokale przeznaczone na funkcje usługowo-handlowe.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drugim etapie zaplanowano cztery budynki, a w nich 323 mieszkania oraz 6 lokali usługowych.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ofercie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drugiej fazy projektu 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są funkcjonalnie zaprojektowane, zróżnicowane i </w:t>
      </w:r>
      <w:r w:rsidR="00982AB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ergonomiczne </w:t>
      </w:r>
      <w:r w:rsidR="00982AB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wnętrza o metrażu </w:t>
      </w:r>
      <w:r w:rsidR="00982AB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3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3,56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86,47</w:t>
      </w:r>
      <w:r w:rsidR="00433582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</w:t>
      </w:r>
      <w:r w:rsidR="00982AB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oraz układach od </w:t>
      </w:r>
      <w:r w:rsidR="00156B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="00982AB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4 pokoi. </w:t>
      </w:r>
      <w:r w:rsidR="00CA02D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Uzupełnieniem komfortowej przestrzeni mieszkalnej będą przes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tronne</w:t>
      </w:r>
      <w:r w:rsidR="00CA02D5" w:rsidRPr="001C7C2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balkony</w:t>
      </w:r>
      <w:r w:rsidR="00CA02D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– w przypadku parterowych lokali – indywidualne ogródki. </w:t>
      </w:r>
      <w:r w:rsidR="00330EE4" w:rsidRPr="00330EE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 W ramach tego etapu przewidziano halę garażową z 310 miejscami postojowymi</w:t>
      </w:r>
      <w:r w:rsidR="00330EE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87 miejsc postojowych naziemnych. D</w:t>
      </w:r>
      <w:r w:rsidR="00330EE4" w:rsidRPr="00330EE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odatkowo, na terenie całej inwestycji, do dyspozycji mieszkańców przekazane zostaną pomieszczenia rowerowni oraz stojaki na rowery.</w:t>
      </w:r>
    </w:p>
    <w:p w14:paraId="00FE843D" w14:textId="77777777" w:rsidR="00982AB5" w:rsidRPr="00991150" w:rsidRDefault="00982AB5" w:rsidP="00E64E38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A8A7AC" wp14:editId="39354A6D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2A234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F23B6E2" w14:textId="77777777" w:rsidR="00982AB5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582BC1B6" w14:textId="77777777" w:rsidR="00982AB5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7B8A0C65" w14:textId="59F02F0C" w:rsidR="00D47FCD" w:rsidRDefault="00330EE4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Letnica od lat cieszy się rosnącą popularnością wśród osób, które szukają mieszkania w Gdańsku. ATAL realizuje w tej części miasta dwie inwestycje. Uruchamiamy właśnie sprzedaż kolejnych mieszkań, jesteśmy przekonani, że będą cieszyły się takim samym zainteresowaniem jak lokale z pierwszego etapu. Przemyślana architektura</w:t>
      </w:r>
      <w:r w:rsidR="00EB774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osiedla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 komfortowe rozkłady, przestronne wnętrza z pewnością przypadn</w:t>
      </w:r>
      <w:r w:rsidR="00EB774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ą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do gustu </w:t>
      </w:r>
      <w:r w:rsidR="00D91EC6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klientom</w:t>
      </w:r>
    </w:p>
    <w:p w14:paraId="747591D4" w14:textId="77777777" w:rsidR="00982AB5" w:rsidRPr="00991150" w:rsidRDefault="00982AB5" w:rsidP="00E64E38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750260" wp14:editId="3FE9015B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CA31D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5D6863D5" w14:textId="77777777" w:rsidR="00982AB5" w:rsidRPr="00677427" w:rsidRDefault="00982AB5" w:rsidP="00E64E38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08CAB8ED" w14:textId="77777777" w:rsidR="00982AB5" w:rsidRDefault="00982AB5" w:rsidP="00E64E38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508B37AB" w14:textId="724D5919" w:rsidR="00007867" w:rsidRPr="00364251" w:rsidRDefault="00007867" w:rsidP="00E64E38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Osiedle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Bursztynowa Zatoka zaprojektowano z dbałością o detale i wysoką jakość materiałów. Przemyślana i funkcjonalna architektura stworzy komfortową przestrzeń dla przyszłych mieszkańców. Ustawne układy i przestronne pomieszczenia są łatwe w aranżacji i będą </w:t>
      </w:r>
      <w:r w:rsidR="00613D0C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wygodne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użytkowaniu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Ogólnodostępne tarasy na dachach budynków, place zabaw i atrakcyjnie zaprojektowana zieleń wraz z</w:t>
      </w:r>
      <w:r w:rsidR="00635899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E64E3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wspierającymi gospodarkę wodną </w:t>
      </w: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ogrodami deszczowymi stworzą komfortową przestrzeń wspólną zachęcającą do sąsiedzkiej integracji i spędzania czasu na świeżym powietrzu. </w:t>
      </w:r>
      <w:r w:rsidR="00AD762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Dodatkowo, do dyspozycji mieszkańców pozostaną pomieszczenia rowerowni oraz stojaki na rowery.</w:t>
      </w:r>
      <w:r w:rsidR="00E64E38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E64E38" w:rsidRPr="00364251">
        <w:rPr>
          <w:rFonts w:asciiTheme="majorHAnsi" w:hAnsiTheme="majorHAnsi" w:cstheme="majorHAnsi"/>
          <w:sz w:val="22"/>
          <w:szCs w:val="22"/>
        </w:rPr>
        <w:t>Dla pełnej wygody mieszkańców budynki będą wyposażone w cichobieżne windy. Inwestycja zostanie przystosowana do potrzeb osób niepełnosprawnych.</w:t>
      </w:r>
    </w:p>
    <w:p w14:paraId="3CCB9DEC" w14:textId="1D51A2B3" w:rsidR="001F3B23" w:rsidRPr="00364251" w:rsidRDefault="00007867" w:rsidP="00AF70F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lastRenderedPageBreak/>
        <w:t xml:space="preserve">Usytuowanie osiedla </w:t>
      </w:r>
      <w:r w:rsidR="00557C7F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 gdańskiej Letnicy – obecnie najbardziej dynamicznie rozwijającej się dzielnicy miasta o stale rosnącym prestiżu – oraz na styku historycznej, zrewitalizowanej zabudowy i nowych osiedli sprawia, że Bursztynowa Zatoka jest wyjątkową propozycją dla poszukujących nieruchomości w Trójmieście. W 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odległości spaceru </w:t>
      </w:r>
      <w:r w:rsidR="00557C7F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znajduje się Stadion Gdańsk – 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miejsce wielu wydarzeń sportowych, widowiskowych i kulturalnych, które posiada także rozrywkowo-usługow</w:t>
      </w:r>
      <w:r w:rsidR="001B4EC7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e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zaplecze</w:t>
      </w:r>
      <w:r w:rsidR="001B4EC7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 parkiem trampolin, gokartami i salą zabaw</w:t>
      </w:r>
      <w:r w:rsidR="007C5000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 Wiele możliwości aktywnego spędzania czasu wolnego dostarcza także bliskość Zatoki Gdańskiej, plaży i terenów zielonych.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okolicy znajdują się sklepy, supermarkety i punkty usługowe, a także szkoły i przedszkola. Wygodną komunikację zarówno w kierunku Głównego Miasta, jak i Sopotu gwarantuje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bliskość </w:t>
      </w:r>
      <w:r w:rsidR="00C53565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a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l. Macieja Płażyńskiego. 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Można stąd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wygodnie </w:t>
      </w:r>
      <w:r w:rsidR="001F3B23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dotrzeć do innych dzielnic miasta dzięki </w:t>
      </w:r>
      <w:r w:rsidR="00EC73F2" w:rsidRPr="003642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przystankom autobusowym i tramwajowym.</w:t>
      </w:r>
    </w:p>
    <w:p w14:paraId="2E6331ED" w14:textId="10B8B425" w:rsidR="00AF70F8" w:rsidRPr="00364251" w:rsidRDefault="004C20D2" w:rsidP="00AF70F8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Bursztynowa Zatoka </w:t>
      </w:r>
      <w:r w:rsidR="00982AB5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nie jedyna propozycja ATAL 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gdańskiej Letnicy</w:t>
      </w:r>
      <w:r w:rsidR="00982AB5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. Deweloper oferuje 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tu również </w:t>
      </w:r>
      <w:r w:rsidR="00982AB5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mieszkania 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 ramach inwestycji</w:t>
      </w:r>
      <w:r w:rsidR="00AF70F8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Przystań Letnica, która powstaje przy ul. Letnickiej, w bliskim sąsiedztwie Zatoki Gdańskiej. W sprzedaży jest także 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projekt</w:t>
      </w:r>
      <w:r w:rsidR="00AF70F8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ATAL Bosmańska, któr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y</w:t>
      </w:r>
      <w:r w:rsidR="00AF70F8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zlokalizowan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y</w:t>
      </w:r>
      <w:r w:rsidR="00AF70F8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jest pośród terenów zielonych na gdyńskim Oksywiu. </w:t>
      </w:r>
      <w:r w:rsidR="00F667ED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Na styku świetnie skomunikowanej części Przymorza oraz Oliwy</w:t>
      </w:r>
      <w:r w:rsidR="008D30F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u zbiegu ulic Arkońskiej i Śląskiej powstaje</w:t>
      </w:r>
      <w:r w:rsidR="00C60B5F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projekt</w:t>
      </w:r>
      <w:r w:rsidR="008D30F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Śląska 12, gdzie dostępne w sprzedaży są apartamenty inwestycyjne.</w:t>
      </w:r>
      <w:r w:rsidR="00A63543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Dostępne są także mieszkania i </w:t>
      </w:r>
      <w:r w:rsidR="00D91EC6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apartamenty </w:t>
      </w:r>
      <w:r w:rsidR="00A63543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inwestycyjne w Modern Tower – 16-piętrowym </w:t>
      </w:r>
      <w:r w:rsidR="00D91EC6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budynku</w:t>
      </w:r>
      <w:r w:rsidR="00A63543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oferującym szereg udogodnień m.in. taras widokowy na dachu, reprezentacyjne lobby z recepcją i klub fitness z siłownią.</w:t>
      </w:r>
    </w:p>
    <w:p w14:paraId="1EED7C2F" w14:textId="54E12E34" w:rsidR="00982AB5" w:rsidRPr="00364251" w:rsidRDefault="00982AB5" w:rsidP="00982AB5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drugiego etapu 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osiedla </w:t>
      </w:r>
      <w:r w:rsidR="008D30F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Bursztynowa Zatoka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to I</w:t>
      </w:r>
      <w:r w:rsidR="00D91EC6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V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</w:t>
      </w:r>
      <w:r w:rsidR="00EB774C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4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roku. Za projekt odpowiada pracownia </w:t>
      </w:r>
      <w:r w:rsidR="00A63543"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KD Kozikowski Design</w:t>
      </w:r>
      <w:r w:rsidRPr="00D91EC6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17C1D4F8" w14:textId="604AF6F1" w:rsidR="00982AB5" w:rsidRPr="00406EDD" w:rsidRDefault="00982AB5" w:rsidP="00982AB5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406EDD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7" w:history="1">
        <w:r w:rsidR="00AD7628" w:rsidRPr="0014677D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AD7628" w:rsidRPr="0014677D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zatokabursztynowa.pl</w:t>
        </w:r>
      </w:hyperlink>
    </w:p>
    <w:p w14:paraId="0213E2EC" w14:textId="77777777" w:rsidR="00982AB5" w:rsidRPr="00991150" w:rsidRDefault="00982AB5" w:rsidP="00982AB5">
      <w:pPr>
        <w:spacing w:line="240" w:lineRule="auto"/>
        <w:rPr>
          <w:rFonts w:asciiTheme="majorHAnsi" w:hAnsiTheme="majorHAnsi" w:cstheme="majorHAnsi"/>
        </w:rPr>
      </w:pPr>
    </w:p>
    <w:p w14:paraId="4FF52D62" w14:textId="77777777" w:rsidR="00982AB5" w:rsidRPr="00991150" w:rsidRDefault="00982AB5" w:rsidP="00982AB5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E5C9C9" wp14:editId="527B1A08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FCB1B9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BDAE48B" w14:textId="77777777" w:rsidR="00982AB5" w:rsidRPr="004009C7" w:rsidRDefault="00982AB5" w:rsidP="00982AB5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677E6E1A" w14:textId="77777777" w:rsidR="00982AB5" w:rsidRDefault="00982AB5" w:rsidP="00982AB5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A281F7" wp14:editId="1060D180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2755E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7852D1D4" w14:textId="77777777" w:rsidR="00982AB5" w:rsidRPr="00BB7A50" w:rsidRDefault="00982AB5" w:rsidP="00982AB5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1C48B1EC" w14:textId="77777777" w:rsidR="00982AB5" w:rsidRPr="00D91EC6" w:rsidRDefault="00982AB5" w:rsidP="00982AB5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D91EC6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2BDE609C" w14:textId="2B84784F" w:rsidR="00982AB5" w:rsidRPr="00D91EC6" w:rsidRDefault="00EB774C" w:rsidP="00982AB5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D91EC6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0D2D0B27" w14:textId="0836922E" w:rsidR="00982AB5" w:rsidRPr="00EB774C" w:rsidRDefault="00EB774C" w:rsidP="00982AB5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</w:pPr>
      <w:r w:rsidRPr="00EB774C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He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ad of Corporate Communication &amp; Investor Relations</w:t>
      </w:r>
      <w:r w:rsidR="00982AB5" w:rsidRPr="00EB774C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br/>
      </w:r>
      <w:r w:rsidR="00982AB5" w:rsidRPr="00EB774C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e-mail:</w:t>
      </w:r>
      <w:r w:rsidR="00982AB5" w:rsidRPr="00EB774C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hyperlink r:id="rId9" w:history="1">
        <w:r w:rsidR="00982AB5" w:rsidRPr="00EB774C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val="en-US" w:eastAsia="ar-SA"/>
          </w:rPr>
          <w:t>pr@atal.pl</w:t>
        </w:r>
      </w:hyperlink>
      <w:r w:rsidR="00982AB5" w:rsidRPr="00EB774C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</w:p>
    <w:p w14:paraId="14119FC7" w14:textId="77777777" w:rsidR="00982AB5" w:rsidRPr="00EB774C" w:rsidRDefault="00982AB5" w:rsidP="00982AB5">
      <w:pPr>
        <w:rPr>
          <w:lang w:val="en-US"/>
        </w:rPr>
      </w:pPr>
    </w:p>
    <w:p w14:paraId="032B4926" w14:textId="77777777" w:rsidR="00982AB5" w:rsidRPr="00EB774C" w:rsidRDefault="00982AB5" w:rsidP="00982AB5">
      <w:pPr>
        <w:rPr>
          <w:lang w:val="en-US"/>
        </w:rPr>
      </w:pPr>
    </w:p>
    <w:p w14:paraId="05D11360" w14:textId="77777777" w:rsidR="007825A0" w:rsidRPr="00EB774C" w:rsidRDefault="007825A0">
      <w:pPr>
        <w:rPr>
          <w:lang w:val="en-US"/>
        </w:rPr>
      </w:pPr>
    </w:p>
    <w:sectPr w:rsidR="007825A0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36B2" w14:textId="77777777" w:rsidR="008D2A2D" w:rsidRDefault="008D2A2D" w:rsidP="00557C7F">
      <w:pPr>
        <w:spacing w:after="0" w:line="240" w:lineRule="auto"/>
      </w:pPr>
      <w:r>
        <w:separator/>
      </w:r>
    </w:p>
  </w:endnote>
  <w:endnote w:type="continuationSeparator" w:id="0">
    <w:p w14:paraId="393E4E66" w14:textId="77777777" w:rsidR="008D2A2D" w:rsidRDefault="008D2A2D" w:rsidP="0055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571" w14:textId="77777777" w:rsidR="008D2A2D" w:rsidRDefault="008D2A2D" w:rsidP="00557C7F">
      <w:pPr>
        <w:spacing w:after="0" w:line="240" w:lineRule="auto"/>
      </w:pPr>
      <w:r>
        <w:separator/>
      </w:r>
    </w:p>
  </w:footnote>
  <w:footnote w:type="continuationSeparator" w:id="0">
    <w:p w14:paraId="711E1FDA" w14:textId="77777777" w:rsidR="008D2A2D" w:rsidRDefault="008D2A2D" w:rsidP="00557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B5"/>
    <w:rsid w:val="00007867"/>
    <w:rsid w:val="000B2D69"/>
    <w:rsid w:val="000C2F14"/>
    <w:rsid w:val="00156B6F"/>
    <w:rsid w:val="00166CF2"/>
    <w:rsid w:val="001B4EC7"/>
    <w:rsid w:val="001D5C07"/>
    <w:rsid w:val="001F3B23"/>
    <w:rsid w:val="0021100A"/>
    <w:rsid w:val="00275720"/>
    <w:rsid w:val="00330EE4"/>
    <w:rsid w:val="00364251"/>
    <w:rsid w:val="00433582"/>
    <w:rsid w:val="00475E85"/>
    <w:rsid w:val="004C20D2"/>
    <w:rsid w:val="005312E8"/>
    <w:rsid w:val="00546957"/>
    <w:rsid w:val="00557C7F"/>
    <w:rsid w:val="00613D0C"/>
    <w:rsid w:val="00635899"/>
    <w:rsid w:val="00671EE0"/>
    <w:rsid w:val="00715B93"/>
    <w:rsid w:val="007443B0"/>
    <w:rsid w:val="007825A0"/>
    <w:rsid w:val="007C5000"/>
    <w:rsid w:val="007F25D9"/>
    <w:rsid w:val="00852FD5"/>
    <w:rsid w:val="0089058C"/>
    <w:rsid w:val="008D2A2D"/>
    <w:rsid w:val="008D30FC"/>
    <w:rsid w:val="00982AB5"/>
    <w:rsid w:val="00A63543"/>
    <w:rsid w:val="00AA5B97"/>
    <w:rsid w:val="00AD7628"/>
    <w:rsid w:val="00AF5F34"/>
    <w:rsid w:val="00AF70F8"/>
    <w:rsid w:val="00B71109"/>
    <w:rsid w:val="00C21678"/>
    <w:rsid w:val="00C53565"/>
    <w:rsid w:val="00C60B5F"/>
    <w:rsid w:val="00CA02D5"/>
    <w:rsid w:val="00CD7C0D"/>
    <w:rsid w:val="00D47FCD"/>
    <w:rsid w:val="00D91EC6"/>
    <w:rsid w:val="00DC6471"/>
    <w:rsid w:val="00E64E38"/>
    <w:rsid w:val="00E77B13"/>
    <w:rsid w:val="00E90FCE"/>
    <w:rsid w:val="00EB774C"/>
    <w:rsid w:val="00EC73F2"/>
    <w:rsid w:val="00F44574"/>
    <w:rsid w:val="00F6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B6E9"/>
  <w15:chartTrackingRefBased/>
  <w15:docId w15:val="{C1504D27-512A-49F6-8D0F-00C39B8B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AB5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2AB5"/>
    <w:rPr>
      <w:color w:val="000080"/>
      <w:u w:val="single"/>
    </w:rPr>
  </w:style>
  <w:style w:type="paragraph" w:styleId="Bezodstpw">
    <w:name w:val="No Spacing"/>
    <w:uiPriority w:val="1"/>
    <w:qFormat/>
    <w:rsid w:val="00982AB5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0F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C7F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C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6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6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678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6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678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67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tokabursztyno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2022-04-22T08:01:00Z</dcterms:created>
  <dcterms:modified xsi:type="dcterms:W3CDTF">2022-04-22T08:01:00Z</dcterms:modified>
</cp:coreProperties>
</file>