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0871BD" w:rsidRDefault="000871B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0871BD" w:rsidRPr="00907BD9" w:rsidRDefault="000871BD" w:rsidP="000871BD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Warszawa, </w:t>
      </w:r>
      <w:r w:rsidR="00471CE3">
        <w:rPr>
          <w:rFonts w:ascii="Trebuchet MS" w:hAnsi="Trebuchet MS" w:cs="Arial"/>
          <w:color w:val="000000"/>
          <w:sz w:val="24"/>
          <w:szCs w:val="24"/>
        </w:rPr>
        <w:t>6</w:t>
      </w:r>
      <w:r>
        <w:rPr>
          <w:rFonts w:ascii="Trebuchet MS" w:hAnsi="Trebuchet MS" w:cs="Arial"/>
          <w:color w:val="000000"/>
          <w:sz w:val="24"/>
          <w:szCs w:val="24"/>
        </w:rPr>
        <w:t xml:space="preserve"> lutego</w:t>
      </w: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 2014 roku</w:t>
      </w:r>
    </w:p>
    <w:p w:rsidR="000871BD" w:rsidRDefault="000871B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9278DE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9278DE">
        <w:rPr>
          <w:b/>
          <w:sz w:val="40"/>
          <w:szCs w:val="40"/>
        </w:rPr>
        <w:t>ATAL S</w:t>
      </w:r>
      <w:r w:rsidR="000871BD">
        <w:rPr>
          <w:b/>
          <w:sz w:val="40"/>
          <w:szCs w:val="40"/>
        </w:rPr>
        <w:t>.</w:t>
      </w:r>
      <w:r w:rsidRPr="009278DE">
        <w:rPr>
          <w:b/>
          <w:sz w:val="40"/>
          <w:szCs w:val="40"/>
        </w:rPr>
        <w:t>A</w:t>
      </w:r>
      <w:r w:rsidR="000871BD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: </w:t>
      </w:r>
      <w:r w:rsidR="00DF2E54">
        <w:rPr>
          <w:b/>
          <w:sz w:val="40"/>
          <w:szCs w:val="40"/>
        </w:rPr>
        <w:t>45% wzrost sprzedaży w styczniu</w:t>
      </w:r>
      <w:r>
        <w:rPr>
          <w:b/>
          <w:sz w:val="40"/>
          <w:szCs w:val="40"/>
        </w:rPr>
        <w:t xml:space="preserve"> 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DF2E54" w:rsidRPr="003C3DCF" w:rsidRDefault="00DF2E54" w:rsidP="00DF2E54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</w:t>
      </w:r>
      <w:r w:rsidR="000871BD">
        <w:rPr>
          <w:rFonts w:cs="Tms Rmn"/>
          <w:b/>
          <w:color w:val="000000"/>
          <w:sz w:val="24"/>
          <w:szCs w:val="24"/>
        </w:rPr>
        <w:t>.</w:t>
      </w:r>
      <w:r w:rsidRPr="00FA0B18">
        <w:rPr>
          <w:rFonts w:cs="Tms Rmn"/>
          <w:b/>
          <w:color w:val="000000"/>
          <w:sz w:val="24"/>
          <w:szCs w:val="24"/>
        </w:rPr>
        <w:t>A</w:t>
      </w:r>
      <w:r w:rsidR="000871BD">
        <w:rPr>
          <w:rFonts w:cs="Tms Rmn"/>
          <w:b/>
          <w:color w:val="000000"/>
          <w:sz w:val="24"/>
          <w:szCs w:val="24"/>
        </w:rPr>
        <w:t>.</w:t>
      </w:r>
      <w:r>
        <w:rPr>
          <w:rFonts w:cs="Tms Rmn"/>
          <w:b/>
          <w:color w:val="000000"/>
          <w:sz w:val="24"/>
          <w:szCs w:val="24"/>
        </w:rPr>
        <w:t>, jeden z liderów rynku deweloperskiego w Polsce, sprzedał w styczniu 100 mieszkań</w:t>
      </w:r>
      <w:r w:rsidR="00E8167D">
        <w:rPr>
          <w:rFonts w:cs="Tms Rmn"/>
          <w:b/>
          <w:color w:val="000000"/>
          <w:sz w:val="24"/>
          <w:szCs w:val="24"/>
        </w:rPr>
        <w:t xml:space="preserve"> w swoich inwestycjach</w:t>
      </w:r>
      <w:r>
        <w:rPr>
          <w:rFonts w:cs="Tms Rmn"/>
          <w:b/>
          <w:color w:val="000000"/>
          <w:sz w:val="24"/>
          <w:szCs w:val="24"/>
        </w:rPr>
        <w:t>. Oznacza to 45% wzrost względem analogicznego okresu w 2013 roku. Dodatkowo, w tym miesiącu zarezerwowanych</w:t>
      </w:r>
      <w:r w:rsidR="008B781B">
        <w:rPr>
          <w:rFonts w:cs="Tms Rmn"/>
          <w:b/>
          <w:color w:val="000000"/>
          <w:sz w:val="24"/>
          <w:szCs w:val="24"/>
        </w:rPr>
        <w:t xml:space="preserve"> zostało kolejnych 118 mieszkań</w:t>
      </w:r>
      <w:r w:rsidR="00E8167D">
        <w:rPr>
          <w:rFonts w:cs="Tms Rmn"/>
          <w:b/>
          <w:color w:val="000000"/>
          <w:sz w:val="24"/>
          <w:szCs w:val="24"/>
        </w:rPr>
        <w:t>.</w:t>
      </w:r>
    </w:p>
    <w:p w:rsidR="00DF2E54" w:rsidRDefault="00DF2E54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</w:p>
    <w:p w:rsidR="00E8167D" w:rsidRDefault="00E8167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>Styczeń przyniósł bardzo dobre wyniki sprzedaży dla ATAL S.A. We wszystkich oferowanych przez dewelopera lokalizacjach podpisano łącznie 100 umów na zakup mieszkań bądź domów. Ko</w:t>
      </w:r>
      <w:r w:rsidR="009273AB">
        <w:rPr>
          <w:rFonts w:cs="Tms Rmn"/>
          <w:color w:val="000000"/>
          <w:sz w:val="24"/>
          <w:szCs w:val="24"/>
        </w:rPr>
        <w:t xml:space="preserve">lejnych 118 </w:t>
      </w:r>
      <w:r>
        <w:rPr>
          <w:rFonts w:cs="Tms Rmn"/>
          <w:color w:val="000000"/>
          <w:sz w:val="24"/>
          <w:szCs w:val="24"/>
        </w:rPr>
        <w:t>zostało zarezerwowanych. To znaczny wzrost względem stycznia 2013</w:t>
      </w:r>
      <w:r w:rsidR="00E8383E">
        <w:rPr>
          <w:rFonts w:cs="Tms Rmn"/>
          <w:color w:val="000000"/>
          <w:sz w:val="24"/>
          <w:szCs w:val="24"/>
        </w:rPr>
        <w:t xml:space="preserve"> </w:t>
      </w:r>
      <w:r w:rsidR="008B781B">
        <w:rPr>
          <w:rFonts w:cs="Tms Rmn"/>
          <w:color w:val="000000"/>
          <w:sz w:val="24"/>
          <w:szCs w:val="24"/>
        </w:rPr>
        <w:t xml:space="preserve">roku </w:t>
      </w:r>
      <w:r>
        <w:rPr>
          <w:rFonts w:cs="Tms Rmn"/>
          <w:color w:val="000000"/>
          <w:sz w:val="24"/>
          <w:szCs w:val="24"/>
        </w:rPr>
        <w:t xml:space="preserve">– kolejno </w:t>
      </w:r>
      <w:r w:rsidR="008B781B">
        <w:rPr>
          <w:rFonts w:cs="Tms Rmn"/>
          <w:color w:val="000000"/>
          <w:sz w:val="24"/>
          <w:szCs w:val="24"/>
        </w:rPr>
        <w:t xml:space="preserve">o </w:t>
      </w:r>
      <w:r>
        <w:rPr>
          <w:rFonts w:cs="Tms Rmn"/>
          <w:color w:val="000000"/>
          <w:sz w:val="24"/>
          <w:szCs w:val="24"/>
        </w:rPr>
        <w:t>45% oraz 90%.</w:t>
      </w:r>
    </w:p>
    <w:p w:rsidR="00106D06" w:rsidRDefault="00106D06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0871BD" w:rsidRPr="003B3348" w:rsidRDefault="000871BD" w:rsidP="000871BD">
      <w:pPr>
        <w:pStyle w:val="Tekstpodstawowy2"/>
        <w:rPr>
          <w:rFonts w:cs="Tms Rmn"/>
          <w:i/>
        </w:rPr>
      </w:pPr>
      <w:r w:rsidRPr="000871BD">
        <w:rPr>
          <w:rFonts w:cs="Tms Rmn"/>
          <w:i/>
        </w:rPr>
        <w:t>Początek roku</w:t>
      </w:r>
      <w:r w:rsidR="00106D06" w:rsidRPr="000871BD">
        <w:rPr>
          <w:rFonts w:cs="Tms Rmn"/>
          <w:i/>
        </w:rPr>
        <w:t xml:space="preserve"> nie jest zwykle okresem intensywnej sprzedaży. Konsumenci częściej decydują się za zakup mieszkania lub domu w późniejszych miesiącach. Tym bardziej cieszy tak wysoki wynik. To</w:t>
      </w:r>
      <w:r w:rsidRPr="000871BD">
        <w:rPr>
          <w:rFonts w:cs="Tms Rmn"/>
          <w:i/>
        </w:rPr>
        <w:t xml:space="preserve"> potwierdzenie, że jako firma działamy prężnie i umiejętnie odpowiadamy na potrzeby naszych klientów</w:t>
      </w:r>
      <w:r>
        <w:rPr>
          <w:rFonts w:cs="Tms Rmn"/>
        </w:rPr>
        <w:t xml:space="preserve"> – mówi Zbigniew </w:t>
      </w:r>
      <w:proofErr w:type="spellStart"/>
      <w:r>
        <w:rPr>
          <w:rFonts w:cs="Tms Rmn"/>
        </w:rPr>
        <w:t>Juroszek</w:t>
      </w:r>
      <w:proofErr w:type="spellEnd"/>
      <w:r>
        <w:rPr>
          <w:rFonts w:cs="Tms Rmn"/>
        </w:rPr>
        <w:t>, Prezes ATAL SA.</w:t>
      </w:r>
    </w:p>
    <w:p w:rsidR="00106D06" w:rsidRDefault="00106D06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106D06" w:rsidRDefault="009273AB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>Największą popularnością cieszą się niezmiennie inwestycje w Krakowie</w:t>
      </w:r>
      <w:r w:rsidR="008B781B">
        <w:rPr>
          <w:rFonts w:cs="Tms Rmn"/>
          <w:color w:val="000000"/>
          <w:sz w:val="24"/>
          <w:szCs w:val="24"/>
        </w:rPr>
        <w:t xml:space="preserve"> </w:t>
      </w:r>
      <w:r w:rsidR="002B41B5">
        <w:rPr>
          <w:rFonts w:cs="Tms Rmn"/>
          <w:color w:val="000000"/>
          <w:sz w:val="24"/>
          <w:szCs w:val="24"/>
        </w:rPr>
        <w:t xml:space="preserve">– przede wszystkim </w:t>
      </w:r>
      <w:r w:rsidR="002B41B5" w:rsidRPr="0025753B">
        <w:rPr>
          <w:rFonts w:cs="Arial"/>
          <w:color w:val="000000"/>
          <w:sz w:val="24"/>
          <w:szCs w:val="24"/>
        </w:rPr>
        <w:t xml:space="preserve">Nadwiślańska 11 Apartamenty, Bronowice </w:t>
      </w:r>
      <w:proofErr w:type="spellStart"/>
      <w:r w:rsidR="002B41B5" w:rsidRPr="0025753B">
        <w:rPr>
          <w:rFonts w:cs="Arial"/>
          <w:color w:val="000000"/>
          <w:sz w:val="24"/>
          <w:szCs w:val="24"/>
        </w:rPr>
        <w:t>Reside</w:t>
      </w:r>
      <w:r w:rsidR="002B41B5">
        <w:rPr>
          <w:rFonts w:cs="Arial"/>
          <w:color w:val="000000"/>
          <w:sz w:val="24"/>
          <w:szCs w:val="24"/>
        </w:rPr>
        <w:t>nce</w:t>
      </w:r>
      <w:proofErr w:type="spellEnd"/>
      <w:r w:rsidR="002B41B5">
        <w:rPr>
          <w:rFonts w:cs="Arial"/>
          <w:color w:val="000000"/>
          <w:sz w:val="24"/>
          <w:szCs w:val="24"/>
        </w:rPr>
        <w:t xml:space="preserve"> oraz City </w:t>
      </w:r>
      <w:proofErr w:type="spellStart"/>
      <w:r w:rsidR="002B41B5">
        <w:rPr>
          <w:rFonts w:cs="Arial"/>
          <w:color w:val="000000"/>
          <w:sz w:val="24"/>
          <w:szCs w:val="24"/>
        </w:rPr>
        <w:t>Towers</w:t>
      </w:r>
      <w:proofErr w:type="spellEnd"/>
      <w:r w:rsidR="002B41B5">
        <w:rPr>
          <w:rFonts w:cs="Arial"/>
          <w:color w:val="000000"/>
          <w:sz w:val="24"/>
          <w:szCs w:val="24"/>
        </w:rPr>
        <w:t xml:space="preserve"> Czyżyny. Łącznie </w:t>
      </w:r>
      <w:r w:rsidR="000871BD">
        <w:rPr>
          <w:rFonts w:cs="Arial"/>
          <w:color w:val="000000"/>
          <w:sz w:val="24"/>
          <w:szCs w:val="24"/>
        </w:rPr>
        <w:t>w </w:t>
      </w:r>
      <w:r w:rsidR="002B41B5">
        <w:rPr>
          <w:rFonts w:cs="Arial"/>
          <w:color w:val="000000"/>
          <w:sz w:val="24"/>
          <w:szCs w:val="24"/>
        </w:rPr>
        <w:t xml:space="preserve">tym mieście </w:t>
      </w:r>
      <w:r w:rsidR="00106D06">
        <w:rPr>
          <w:rFonts w:cs="Arial"/>
          <w:color w:val="000000"/>
          <w:sz w:val="24"/>
          <w:szCs w:val="24"/>
        </w:rPr>
        <w:t xml:space="preserve">we wszystkich oferowanych kompleksach </w:t>
      </w:r>
      <w:r w:rsidR="002B41B5">
        <w:rPr>
          <w:rFonts w:cs="Arial"/>
          <w:color w:val="000000"/>
          <w:sz w:val="24"/>
          <w:szCs w:val="24"/>
        </w:rPr>
        <w:t xml:space="preserve">zakupionych zostało </w:t>
      </w:r>
      <w:r>
        <w:rPr>
          <w:rFonts w:cs="Tms Rmn"/>
          <w:color w:val="000000"/>
          <w:sz w:val="24"/>
          <w:szCs w:val="24"/>
        </w:rPr>
        <w:t xml:space="preserve">56 mieszkań, </w:t>
      </w:r>
      <w:r w:rsidR="008B781B">
        <w:rPr>
          <w:rFonts w:cs="Tms Rmn"/>
          <w:color w:val="000000"/>
          <w:sz w:val="24"/>
          <w:szCs w:val="24"/>
        </w:rPr>
        <w:t xml:space="preserve">a </w:t>
      </w:r>
      <w:r>
        <w:rPr>
          <w:rFonts w:cs="Tms Rmn"/>
          <w:color w:val="000000"/>
          <w:sz w:val="24"/>
          <w:szCs w:val="24"/>
        </w:rPr>
        <w:t xml:space="preserve">68 zarezerwowano. </w:t>
      </w:r>
      <w:r w:rsidR="008B781B">
        <w:rPr>
          <w:rFonts w:cs="Tms Rmn"/>
          <w:color w:val="000000"/>
          <w:sz w:val="24"/>
          <w:szCs w:val="24"/>
        </w:rPr>
        <w:t xml:space="preserve">W Krakowie, gdzie ATAL jest zdecydowanym liderem sprzedaży, spółka </w:t>
      </w:r>
      <w:r w:rsidR="008A44EB">
        <w:rPr>
          <w:rFonts w:cs="Tms Rmn"/>
          <w:color w:val="000000"/>
          <w:sz w:val="24"/>
          <w:szCs w:val="24"/>
        </w:rPr>
        <w:t xml:space="preserve">w styczniu </w:t>
      </w:r>
      <w:r w:rsidR="008B781B">
        <w:rPr>
          <w:rFonts w:cs="Tms Rmn"/>
          <w:color w:val="000000"/>
          <w:sz w:val="24"/>
          <w:szCs w:val="24"/>
        </w:rPr>
        <w:t xml:space="preserve">oddała do użytkowania pierwszy etap </w:t>
      </w:r>
      <w:r w:rsidR="008A44EB">
        <w:rPr>
          <w:rFonts w:cs="Tms Rmn"/>
          <w:color w:val="000000"/>
          <w:sz w:val="24"/>
          <w:szCs w:val="24"/>
        </w:rPr>
        <w:t xml:space="preserve">osiedla </w:t>
      </w:r>
      <w:r w:rsidR="008B781B">
        <w:rPr>
          <w:rFonts w:cs="Tms Rmn"/>
          <w:color w:val="000000"/>
          <w:sz w:val="24"/>
          <w:szCs w:val="24"/>
        </w:rPr>
        <w:t xml:space="preserve">City </w:t>
      </w:r>
      <w:proofErr w:type="spellStart"/>
      <w:r w:rsidR="008B781B">
        <w:rPr>
          <w:rFonts w:cs="Tms Rmn"/>
          <w:color w:val="000000"/>
          <w:sz w:val="24"/>
          <w:szCs w:val="24"/>
        </w:rPr>
        <w:t>Towers</w:t>
      </w:r>
      <w:proofErr w:type="spellEnd"/>
      <w:r w:rsidR="008B781B">
        <w:rPr>
          <w:rFonts w:cs="Tms Rmn"/>
          <w:color w:val="000000"/>
          <w:sz w:val="24"/>
          <w:szCs w:val="24"/>
        </w:rPr>
        <w:t xml:space="preserve"> Czyżyny</w:t>
      </w:r>
      <w:r w:rsidR="00F23CD8">
        <w:rPr>
          <w:rFonts w:cs="Tms Rmn"/>
          <w:color w:val="000000"/>
          <w:sz w:val="24"/>
          <w:szCs w:val="24"/>
        </w:rPr>
        <w:t xml:space="preserve">. </w:t>
      </w:r>
      <w:r w:rsidR="00424515">
        <w:rPr>
          <w:rFonts w:cs="Tms Rmn"/>
          <w:color w:val="000000"/>
          <w:sz w:val="24"/>
          <w:szCs w:val="24"/>
        </w:rPr>
        <w:t>Do momentu</w:t>
      </w:r>
      <w:r w:rsidR="008A44EB">
        <w:rPr>
          <w:rFonts w:cs="Tms Rmn"/>
          <w:color w:val="000000"/>
          <w:sz w:val="24"/>
          <w:szCs w:val="24"/>
        </w:rPr>
        <w:t xml:space="preserve"> zakończenia inwestycji nabywców znalazło 309 z 356 mieszkań i wszystkie z 21 lokali użytkowych.</w:t>
      </w:r>
    </w:p>
    <w:p w:rsidR="008A44EB" w:rsidRDefault="008A44EB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E8167D" w:rsidRDefault="002B41B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Drugą co do wielkości sprzedaż odnotowano we Wrocławiu, </w:t>
      </w:r>
      <w:r w:rsidR="00106D06">
        <w:rPr>
          <w:rFonts w:cs="Tms Rmn"/>
          <w:color w:val="000000"/>
          <w:sz w:val="24"/>
          <w:szCs w:val="24"/>
        </w:rPr>
        <w:t>gdzie zawarto</w:t>
      </w:r>
      <w:r w:rsidR="004B684E">
        <w:rPr>
          <w:rFonts w:cs="Tms Rmn"/>
          <w:color w:val="000000"/>
          <w:sz w:val="24"/>
          <w:szCs w:val="24"/>
        </w:rPr>
        <w:t xml:space="preserve"> </w:t>
      </w:r>
      <w:r>
        <w:rPr>
          <w:rFonts w:cs="Tms Rmn"/>
          <w:color w:val="000000"/>
          <w:sz w:val="24"/>
          <w:szCs w:val="24"/>
        </w:rPr>
        <w:t>26 umów zakupu i dokonano 31 rezerwacji. Lokatorzy</w:t>
      </w:r>
      <w:r w:rsidR="004B684E">
        <w:rPr>
          <w:rFonts w:cs="Tms Rmn"/>
          <w:color w:val="000000"/>
          <w:sz w:val="24"/>
          <w:szCs w:val="24"/>
        </w:rPr>
        <w:t xml:space="preserve"> zamieszkają m.in. w Zielonych Wojszycach, Osiedlu Mieszczańskim, Agrestowej Alei oraz Apartamentach Dyrekcyjna 33. Styczeń był miesiącem finalizowania czwartego etapu budowy we wrocławskim kompleksie </w:t>
      </w:r>
      <w:proofErr w:type="spellStart"/>
      <w:r w:rsidR="004B684E">
        <w:rPr>
          <w:rFonts w:cs="Tms Rmn"/>
          <w:color w:val="000000"/>
          <w:sz w:val="24"/>
          <w:szCs w:val="24"/>
        </w:rPr>
        <w:t>Ville</w:t>
      </w:r>
      <w:proofErr w:type="spellEnd"/>
      <w:r w:rsidR="004B684E">
        <w:rPr>
          <w:rFonts w:cs="Tms Rmn"/>
          <w:color w:val="000000"/>
          <w:sz w:val="24"/>
          <w:szCs w:val="24"/>
        </w:rPr>
        <w:t xml:space="preserve"> </w:t>
      </w:r>
      <w:proofErr w:type="spellStart"/>
      <w:r w:rsidR="004B684E">
        <w:rPr>
          <w:rFonts w:cs="Tms Rmn"/>
          <w:color w:val="000000"/>
          <w:sz w:val="24"/>
          <w:szCs w:val="24"/>
        </w:rPr>
        <w:t>Murano</w:t>
      </w:r>
      <w:proofErr w:type="spellEnd"/>
      <w:r w:rsidR="004B684E">
        <w:rPr>
          <w:rFonts w:cs="Tms Rmn"/>
          <w:color w:val="000000"/>
          <w:sz w:val="24"/>
          <w:szCs w:val="24"/>
        </w:rPr>
        <w:t xml:space="preserve">. Podpisane w tym miesiącu umowy były jednymi z ostatnich i zamknęły sprzedaż </w:t>
      </w:r>
      <w:r w:rsidR="00E8383E">
        <w:rPr>
          <w:rFonts w:cs="Tms Rmn"/>
          <w:color w:val="000000"/>
          <w:sz w:val="24"/>
          <w:szCs w:val="24"/>
        </w:rPr>
        <w:t xml:space="preserve">w tej inwestycji </w:t>
      </w:r>
      <w:r w:rsidR="004B684E">
        <w:rPr>
          <w:rFonts w:cs="Tms Rmn"/>
          <w:color w:val="000000"/>
          <w:sz w:val="24"/>
          <w:szCs w:val="24"/>
        </w:rPr>
        <w:t>na poziomie 93%.</w:t>
      </w:r>
      <w:r w:rsidR="00106D06">
        <w:rPr>
          <w:rFonts w:cs="Tms Rmn"/>
          <w:color w:val="000000"/>
          <w:sz w:val="24"/>
          <w:szCs w:val="24"/>
        </w:rPr>
        <w:t xml:space="preserve"> Dużym zainteresowaniem cieszył się projekt</w:t>
      </w:r>
      <w:r w:rsidR="004B684E">
        <w:rPr>
          <w:rFonts w:cs="Tms Rmn"/>
          <w:color w:val="000000"/>
          <w:sz w:val="24"/>
          <w:szCs w:val="24"/>
        </w:rPr>
        <w:t xml:space="preserve"> Nowe Polesie w Łodzi</w:t>
      </w:r>
      <w:r w:rsidR="008A44EB">
        <w:rPr>
          <w:rFonts w:cs="Tms Rmn"/>
          <w:color w:val="000000"/>
          <w:sz w:val="24"/>
          <w:szCs w:val="24"/>
        </w:rPr>
        <w:t>, gdzie podpisano też pierwsze umowy w ramach projektu MDM</w:t>
      </w:r>
      <w:r w:rsidR="00106D06">
        <w:rPr>
          <w:rFonts w:cs="Tms Rmn"/>
          <w:color w:val="000000"/>
          <w:sz w:val="24"/>
          <w:szCs w:val="24"/>
        </w:rPr>
        <w:t>.</w:t>
      </w:r>
      <w:r w:rsidR="000871BD">
        <w:rPr>
          <w:rFonts w:cs="Tms Rmn"/>
          <w:color w:val="000000"/>
          <w:sz w:val="24"/>
          <w:szCs w:val="24"/>
        </w:rPr>
        <w:t xml:space="preserve"> Nabywców znalazły także mieszkania w </w:t>
      </w:r>
      <w:r w:rsidR="00F23CD8">
        <w:rPr>
          <w:rFonts w:cs="Tms Rmn"/>
          <w:color w:val="000000"/>
          <w:sz w:val="24"/>
          <w:szCs w:val="24"/>
        </w:rPr>
        <w:t xml:space="preserve">ATAL Francuska Park </w:t>
      </w:r>
      <w:r w:rsidR="000871BD">
        <w:rPr>
          <w:rFonts w:cs="Tms Rmn"/>
          <w:color w:val="000000"/>
          <w:sz w:val="24"/>
          <w:szCs w:val="24"/>
        </w:rPr>
        <w:t xml:space="preserve">Katowicach oraz </w:t>
      </w:r>
      <w:proofErr w:type="spellStart"/>
      <w:r w:rsidR="00F23CD8">
        <w:rPr>
          <w:rFonts w:cs="Tms Rmn"/>
          <w:color w:val="000000"/>
          <w:sz w:val="24"/>
          <w:szCs w:val="24"/>
        </w:rPr>
        <w:t>Atal</w:t>
      </w:r>
      <w:proofErr w:type="spellEnd"/>
      <w:r w:rsidR="00F23CD8">
        <w:rPr>
          <w:rFonts w:cs="Tms Rmn"/>
          <w:color w:val="000000"/>
          <w:sz w:val="24"/>
          <w:szCs w:val="24"/>
        </w:rPr>
        <w:t xml:space="preserve"> Marina w </w:t>
      </w:r>
      <w:r w:rsidR="000871BD">
        <w:rPr>
          <w:rFonts w:cs="Tms Rmn"/>
          <w:color w:val="000000"/>
          <w:sz w:val="24"/>
          <w:szCs w:val="24"/>
        </w:rPr>
        <w:t xml:space="preserve">Warszawie. </w:t>
      </w:r>
    </w:p>
    <w:p w:rsidR="00E8167D" w:rsidRDefault="00E8167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903325" w:rsidRDefault="00903325" w:rsidP="00B3675C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903325" w:rsidRDefault="00903325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EF4022" w:rsidRPr="00EF4022" w:rsidRDefault="00EF4022" w:rsidP="00EF4022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lastRenderedPageBreak/>
        <w:t>ATAL SA</w:t>
      </w:r>
      <w:r w:rsidRPr="0006450B">
        <w:rPr>
          <w:rFonts w:eastAsia="Times New Roman" w:cs="Arial"/>
        </w:rPr>
        <w:t xml:space="preserve"> (</w:t>
      </w:r>
      <w:hyperlink r:id="rId7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i właścicielem firmy jest znany polski przedsiębiorca Zbigniew </w:t>
      </w:r>
      <w:proofErr w:type="spellStart"/>
      <w:r w:rsidRPr="002951AA">
        <w:rPr>
          <w:rFonts w:eastAsia="Times New Roman" w:cs="Arial"/>
        </w:rPr>
        <w:t>Juroszek</w:t>
      </w:r>
      <w:proofErr w:type="spellEnd"/>
      <w:r w:rsidRPr="002951AA">
        <w:rPr>
          <w:rFonts w:eastAsia="Times New Roman" w:cs="Arial"/>
        </w:rPr>
        <w:t>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 sprzedał blisko 35</w:t>
      </w:r>
      <w:r w:rsidRPr="002951AA">
        <w:rPr>
          <w:rFonts w:eastAsia="Times New Roman" w:cs="Arial"/>
        </w:rPr>
        <w:t xml:space="preserve">00 mieszkań o powierzchni ponad </w:t>
      </w:r>
      <w:r>
        <w:rPr>
          <w:rFonts w:eastAsia="Times New Roman" w:cs="Arial"/>
        </w:rPr>
        <w:t>160</w:t>
      </w:r>
      <w:r w:rsidRPr="002951AA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</w:p>
    <w:p w:rsidR="00EF4022" w:rsidRPr="002951AA" w:rsidRDefault="00EF4022" w:rsidP="00EF4022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EF4022" w:rsidRDefault="00EF4022" w:rsidP="009278DE">
      <w:pPr>
        <w:spacing w:after="0" w:line="240" w:lineRule="auto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</w:p>
    <w:p w:rsidR="0061547D" w:rsidRPr="00C9082B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</w:rPr>
      </w:pPr>
    </w:p>
    <w:sectPr w:rsidR="0061547D" w:rsidRPr="00C9082B" w:rsidSect="002930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0F" w:rsidRDefault="00B6050F" w:rsidP="00525729">
      <w:pPr>
        <w:spacing w:after="0" w:line="240" w:lineRule="auto"/>
      </w:pPr>
      <w:r>
        <w:separator/>
      </w:r>
    </w:p>
  </w:endnote>
  <w:endnote w:type="continuationSeparator" w:id="0">
    <w:p w:rsidR="00B6050F" w:rsidRDefault="00B6050F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0F" w:rsidRDefault="00B6050F" w:rsidP="00525729">
      <w:pPr>
        <w:spacing w:after="0" w:line="240" w:lineRule="auto"/>
      </w:pPr>
      <w:r>
        <w:separator/>
      </w:r>
    </w:p>
  </w:footnote>
  <w:footnote w:type="continuationSeparator" w:id="0">
    <w:p w:rsidR="00B6050F" w:rsidRDefault="00B6050F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729"/>
    <w:rsid w:val="0000104E"/>
    <w:rsid w:val="00005A16"/>
    <w:rsid w:val="000147D5"/>
    <w:rsid w:val="000171DC"/>
    <w:rsid w:val="00025C21"/>
    <w:rsid w:val="00037C6A"/>
    <w:rsid w:val="00075AC6"/>
    <w:rsid w:val="00086C99"/>
    <w:rsid w:val="000871BD"/>
    <w:rsid w:val="00096864"/>
    <w:rsid w:val="000A6639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6D06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4024D"/>
    <w:rsid w:val="00141DC6"/>
    <w:rsid w:val="001438E0"/>
    <w:rsid w:val="00166935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569B"/>
    <w:rsid w:val="001E061C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1B5"/>
    <w:rsid w:val="002B4E56"/>
    <w:rsid w:val="002D6C7D"/>
    <w:rsid w:val="002D78E0"/>
    <w:rsid w:val="002E4A16"/>
    <w:rsid w:val="002F62CF"/>
    <w:rsid w:val="0030298B"/>
    <w:rsid w:val="00313ED6"/>
    <w:rsid w:val="00313FDB"/>
    <w:rsid w:val="003236DF"/>
    <w:rsid w:val="00336FB5"/>
    <w:rsid w:val="00337373"/>
    <w:rsid w:val="00344983"/>
    <w:rsid w:val="00352D26"/>
    <w:rsid w:val="00354B38"/>
    <w:rsid w:val="00371681"/>
    <w:rsid w:val="00372B44"/>
    <w:rsid w:val="003804C4"/>
    <w:rsid w:val="00396810"/>
    <w:rsid w:val="00397A63"/>
    <w:rsid w:val="00397D1E"/>
    <w:rsid w:val="003A0DCD"/>
    <w:rsid w:val="003A1823"/>
    <w:rsid w:val="003B0884"/>
    <w:rsid w:val="003B3348"/>
    <w:rsid w:val="003B3A88"/>
    <w:rsid w:val="003D561A"/>
    <w:rsid w:val="003E2954"/>
    <w:rsid w:val="003E4993"/>
    <w:rsid w:val="003E567D"/>
    <w:rsid w:val="004002C9"/>
    <w:rsid w:val="004064EE"/>
    <w:rsid w:val="004142E2"/>
    <w:rsid w:val="0042079E"/>
    <w:rsid w:val="00424515"/>
    <w:rsid w:val="00427B1E"/>
    <w:rsid w:val="00432659"/>
    <w:rsid w:val="00432C6F"/>
    <w:rsid w:val="0043309E"/>
    <w:rsid w:val="00433425"/>
    <w:rsid w:val="00456CDE"/>
    <w:rsid w:val="004638DF"/>
    <w:rsid w:val="00471CE3"/>
    <w:rsid w:val="0047665E"/>
    <w:rsid w:val="00492A02"/>
    <w:rsid w:val="00493FFA"/>
    <w:rsid w:val="004969D1"/>
    <w:rsid w:val="004A18FA"/>
    <w:rsid w:val="004A6BA8"/>
    <w:rsid w:val="004B684E"/>
    <w:rsid w:val="004C40BD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25729"/>
    <w:rsid w:val="005274B7"/>
    <w:rsid w:val="00527C2E"/>
    <w:rsid w:val="00527E47"/>
    <w:rsid w:val="00527F79"/>
    <w:rsid w:val="00534DA1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B0AAA"/>
    <w:rsid w:val="005B3073"/>
    <w:rsid w:val="005C3F48"/>
    <w:rsid w:val="005D09A4"/>
    <w:rsid w:val="005D2DCA"/>
    <w:rsid w:val="005D4C61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1857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A24B3"/>
    <w:rsid w:val="006A42F7"/>
    <w:rsid w:val="006B6630"/>
    <w:rsid w:val="006C0A7F"/>
    <w:rsid w:val="006C6BB3"/>
    <w:rsid w:val="006D0BDC"/>
    <w:rsid w:val="006D5554"/>
    <w:rsid w:val="006E573A"/>
    <w:rsid w:val="006E657C"/>
    <w:rsid w:val="006F773A"/>
    <w:rsid w:val="007013E7"/>
    <w:rsid w:val="00702925"/>
    <w:rsid w:val="00707DC5"/>
    <w:rsid w:val="007106EB"/>
    <w:rsid w:val="00711126"/>
    <w:rsid w:val="007113A4"/>
    <w:rsid w:val="00725A92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B4E8C"/>
    <w:rsid w:val="007B6AA4"/>
    <w:rsid w:val="007D44CC"/>
    <w:rsid w:val="007D45CE"/>
    <w:rsid w:val="007D7E35"/>
    <w:rsid w:val="007E24ED"/>
    <w:rsid w:val="007E5D36"/>
    <w:rsid w:val="007E7F62"/>
    <w:rsid w:val="007F0B65"/>
    <w:rsid w:val="00802DD3"/>
    <w:rsid w:val="00823378"/>
    <w:rsid w:val="00833B8D"/>
    <w:rsid w:val="00835416"/>
    <w:rsid w:val="00845642"/>
    <w:rsid w:val="0086436E"/>
    <w:rsid w:val="00874A45"/>
    <w:rsid w:val="00876907"/>
    <w:rsid w:val="00882C13"/>
    <w:rsid w:val="008927EE"/>
    <w:rsid w:val="00895029"/>
    <w:rsid w:val="00896143"/>
    <w:rsid w:val="008A1B96"/>
    <w:rsid w:val="008A3B92"/>
    <w:rsid w:val="008A44EB"/>
    <w:rsid w:val="008A7772"/>
    <w:rsid w:val="008B781B"/>
    <w:rsid w:val="008C2099"/>
    <w:rsid w:val="008C28A4"/>
    <w:rsid w:val="008D3065"/>
    <w:rsid w:val="008E4075"/>
    <w:rsid w:val="008E4892"/>
    <w:rsid w:val="008E7325"/>
    <w:rsid w:val="00903325"/>
    <w:rsid w:val="009040E6"/>
    <w:rsid w:val="00913B6E"/>
    <w:rsid w:val="00914530"/>
    <w:rsid w:val="00916F3C"/>
    <w:rsid w:val="009273AB"/>
    <w:rsid w:val="009278DE"/>
    <w:rsid w:val="0093199C"/>
    <w:rsid w:val="0095214B"/>
    <w:rsid w:val="0095425D"/>
    <w:rsid w:val="00963530"/>
    <w:rsid w:val="009675C7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D12A7"/>
    <w:rsid w:val="009E4226"/>
    <w:rsid w:val="00A01C6F"/>
    <w:rsid w:val="00A03440"/>
    <w:rsid w:val="00A10994"/>
    <w:rsid w:val="00A14232"/>
    <w:rsid w:val="00A24D4B"/>
    <w:rsid w:val="00A36338"/>
    <w:rsid w:val="00A45AB9"/>
    <w:rsid w:val="00A4799F"/>
    <w:rsid w:val="00A47D7A"/>
    <w:rsid w:val="00A56875"/>
    <w:rsid w:val="00A64B45"/>
    <w:rsid w:val="00A72900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E03"/>
    <w:rsid w:val="00AE1F96"/>
    <w:rsid w:val="00AE4C2F"/>
    <w:rsid w:val="00AF3F4A"/>
    <w:rsid w:val="00AF570F"/>
    <w:rsid w:val="00AF6B10"/>
    <w:rsid w:val="00AF6F77"/>
    <w:rsid w:val="00AF7A90"/>
    <w:rsid w:val="00B01FC9"/>
    <w:rsid w:val="00B10B4B"/>
    <w:rsid w:val="00B15312"/>
    <w:rsid w:val="00B27691"/>
    <w:rsid w:val="00B33EE3"/>
    <w:rsid w:val="00B3675C"/>
    <w:rsid w:val="00B4593E"/>
    <w:rsid w:val="00B6050F"/>
    <w:rsid w:val="00B6357D"/>
    <w:rsid w:val="00B64194"/>
    <w:rsid w:val="00B65141"/>
    <w:rsid w:val="00B86A71"/>
    <w:rsid w:val="00B86AA9"/>
    <w:rsid w:val="00BB2A9C"/>
    <w:rsid w:val="00BC1595"/>
    <w:rsid w:val="00BC2087"/>
    <w:rsid w:val="00BC7856"/>
    <w:rsid w:val="00BE0957"/>
    <w:rsid w:val="00BF4DA0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8294D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D0B7A"/>
    <w:rsid w:val="00CD5ADB"/>
    <w:rsid w:val="00D056C1"/>
    <w:rsid w:val="00D15800"/>
    <w:rsid w:val="00D2084D"/>
    <w:rsid w:val="00D35E60"/>
    <w:rsid w:val="00D4776A"/>
    <w:rsid w:val="00D56D0E"/>
    <w:rsid w:val="00D62E4F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2E54"/>
    <w:rsid w:val="00DF443A"/>
    <w:rsid w:val="00DF55DA"/>
    <w:rsid w:val="00E008DB"/>
    <w:rsid w:val="00E04B4A"/>
    <w:rsid w:val="00E11C11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4016"/>
    <w:rsid w:val="00E8167D"/>
    <w:rsid w:val="00E8383E"/>
    <w:rsid w:val="00E83A3C"/>
    <w:rsid w:val="00E855B2"/>
    <w:rsid w:val="00E92745"/>
    <w:rsid w:val="00EA5E5D"/>
    <w:rsid w:val="00EB263E"/>
    <w:rsid w:val="00EB7D29"/>
    <w:rsid w:val="00EC691F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15AD4"/>
    <w:rsid w:val="00F22D1E"/>
    <w:rsid w:val="00F23CD8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al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9</cp:revision>
  <dcterms:created xsi:type="dcterms:W3CDTF">2014-02-04T07:29:00Z</dcterms:created>
  <dcterms:modified xsi:type="dcterms:W3CDTF">2014-02-06T07:52:00Z</dcterms:modified>
</cp:coreProperties>
</file>