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5623" w14:textId="77777777" w:rsidR="00B10C2E" w:rsidRPr="004F177C" w:rsidRDefault="00B10C2E" w:rsidP="00B10C2E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C885DA1" wp14:editId="367CB6AA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1774B" w14:textId="77777777" w:rsidR="00B10C2E" w:rsidRPr="004F177C" w:rsidRDefault="00B10C2E" w:rsidP="00B10C2E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03A7EBE" w14:textId="77777777" w:rsidR="00B10C2E" w:rsidRDefault="00B10C2E" w:rsidP="00B10C2E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F1D1AAA" w14:textId="673A484F" w:rsidR="00B10C2E" w:rsidRPr="00DB224F" w:rsidRDefault="00B10C2E" w:rsidP="00B10C2E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="00F3070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4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września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3A94A4DB" w14:textId="7D75E83C" w:rsidR="00B10C2E" w:rsidRDefault="00B10C2E" w:rsidP="00B10C2E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 </w:t>
      </w:r>
      <w:r w:rsidR="00EE685D">
        <w:rPr>
          <w:rFonts w:ascii="Calibri" w:eastAsia="Calibri" w:hAnsi="Calibri" w:cs="Calibri"/>
          <w:b/>
          <w:bCs/>
          <w:sz w:val="48"/>
          <w:szCs w:val="48"/>
        </w:rPr>
        <w:t>powiększył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ofertę osiedla Zacisze Marcelin </w:t>
      </w:r>
    </w:p>
    <w:p w14:paraId="2F5B452D" w14:textId="043600B3" w:rsidR="00760AF9" w:rsidRPr="00760AF9" w:rsidRDefault="00760AF9" w:rsidP="00B10C2E">
      <w:pPr>
        <w:pStyle w:val="Bezodstpw"/>
        <w:jc w:val="center"/>
        <w:rPr>
          <w:rFonts w:eastAsia="Calibri" w:cs="Calibri"/>
          <w:i/>
          <w:iCs/>
          <w:sz w:val="24"/>
          <w:szCs w:val="24"/>
        </w:rPr>
      </w:pPr>
      <w:r>
        <w:rPr>
          <w:rFonts w:eastAsia="Calibri" w:cs="Calibri"/>
          <w:i/>
          <w:iCs/>
          <w:sz w:val="24"/>
          <w:szCs w:val="24"/>
        </w:rPr>
        <w:t>Do</w:t>
      </w:r>
      <w:r w:rsidRPr="00760AF9">
        <w:rPr>
          <w:rFonts w:eastAsia="Calibri" w:cs="Calibri"/>
          <w:i/>
          <w:iCs/>
          <w:sz w:val="24"/>
          <w:szCs w:val="24"/>
        </w:rPr>
        <w:t xml:space="preserve"> sprzedaży </w:t>
      </w:r>
      <w:r>
        <w:rPr>
          <w:rFonts w:eastAsia="Calibri" w:cs="Calibri"/>
          <w:i/>
          <w:iCs/>
          <w:sz w:val="24"/>
          <w:szCs w:val="24"/>
        </w:rPr>
        <w:t xml:space="preserve">trafiło </w:t>
      </w:r>
      <w:r w:rsidRPr="00760AF9">
        <w:rPr>
          <w:rFonts w:eastAsia="Calibri" w:cs="Calibri"/>
          <w:i/>
          <w:iCs/>
          <w:sz w:val="24"/>
          <w:szCs w:val="24"/>
        </w:rPr>
        <w:t>kolejnych 219 mieszkań na poznańskiej Ławicy</w:t>
      </w:r>
    </w:p>
    <w:p w14:paraId="2171A7FB" w14:textId="2F71B535" w:rsidR="004F293E" w:rsidRDefault="00B10C2E" w:rsidP="00B10C2E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4F293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wprowadził do sprzedaży etap IB osiedla Zacisze Marcelin realizowanego na poznańskiej Ławicy. Do oferty trafiła pula 219 mieszkań o zróżnicowanych metrażach od 27 do 93 mkw. i układach od 1 do 4 pokoi oraz z przestronnymi balkonami, loggiami i ogródkami. Inwestycję wyróżnia ciekawa architektura, osiedlowy park </w:t>
      </w:r>
      <w:r w:rsidR="00EE685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</w:t>
      </w:r>
      <w:r w:rsidR="004F293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atrakcyjn</w:t>
      </w:r>
      <w:r w:rsidR="00EE685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ą</w:t>
      </w:r>
      <w:r w:rsidR="004F293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ziele</w:t>
      </w:r>
      <w:r w:rsidR="00EE685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nią</w:t>
      </w:r>
      <w:r w:rsidR="004F293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a także szereg proekologicznych rozwiązań oraz technologii polepszających komfort życia. Ceny mieszkań za mkw. zaczynają się od </w:t>
      </w:r>
      <w:r w:rsidR="00AA45B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</w:t>
      </w:r>
      <w:r w:rsidR="004F293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AA45B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</w:t>
      </w:r>
      <w:r w:rsidR="004F293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00 złotych brutto.  </w:t>
      </w:r>
    </w:p>
    <w:p w14:paraId="1A5BE167" w14:textId="326B06E6" w:rsidR="00042764" w:rsidRDefault="00AA45BD" w:rsidP="00B10C2E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nwestycja </w:t>
      </w:r>
      <w:r w:rsidR="00BE79B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Zacisze Marcelin 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powstaje przy ul. Leśnych Skrzatów, na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poznańskiej 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Ławicy w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sąsiedztwie Lasku Marcelińskiego i </w:t>
      </w:r>
      <w:r w:rsidR="00BE79B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bliskim otoczeniu zieleni. </w:t>
      </w:r>
      <w:r w:rsidR="00A4003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Wprowadzona do sprzedaży kolejna część 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osiedla składa się z trzech </w:t>
      </w:r>
      <w:r w:rsidR="00B10C2E" w:rsidRPr="00A4003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trzypiętrowych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budynków.</w:t>
      </w:r>
      <w:r w:rsidR="00A4003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35101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Mieszkania zaprojektowano z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="0035101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szczególną troską o funkcjonalność i wygodę ich użytkowania. W ofercie są </w:t>
      </w:r>
      <w:r w:rsidR="00B10C2E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zróżnicowane 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 ergonomiczne </w:t>
      </w:r>
      <w:r w:rsidR="00B10C2E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wnętrza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0427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</w:t>
      </w:r>
      <w:r w:rsidR="000427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 lokale od jedno- po czteropokojowe o </w:t>
      </w:r>
      <w:r w:rsidR="00B10C2E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metraż</w:t>
      </w:r>
      <w:r w:rsidR="000427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ach</w:t>
      </w:r>
      <w:r w:rsidR="00B10C2E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od 27 do </w:t>
      </w:r>
      <w:r w:rsidR="0035101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93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mkw. </w:t>
      </w:r>
      <w:r w:rsidR="00042764" w:rsidRPr="002A2E4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Przeważają mieszkania z dwoma i trzema pokojami cieszące się największą popularnością wśród kupujących.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B10C2E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Uzupełnieniem komfortowej przestrzeni mieszkalnej </w:t>
      </w:r>
      <w:r w:rsidR="0035101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</w:t>
      </w:r>
      <w:r w:rsidR="00B10C2E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 przes</w:t>
      </w:r>
      <w:r w:rsidR="00B10C2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tronne</w:t>
      </w:r>
      <w:r w:rsidR="00B10C2E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balkony</w:t>
      </w:r>
      <w:r w:rsidR="000427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lub</w:t>
      </w:r>
      <w:r w:rsidR="0035101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loggie</w:t>
      </w:r>
      <w:r w:rsidR="000427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a</w:t>
      </w:r>
      <w:r w:rsidR="0035101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0427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lokale na parterze posiadają</w:t>
      </w:r>
      <w:r w:rsidR="0035101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indywidualne ogródki</w:t>
      </w:r>
      <w:r w:rsidR="0004276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z których największe mają ponad 100 mkw.</w:t>
      </w:r>
    </w:p>
    <w:p w14:paraId="5679E4C8" w14:textId="5964DF53" w:rsidR="00B10C2E" w:rsidRPr="001C7C25" w:rsidRDefault="00B10C2E" w:rsidP="00B10C2E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 terenie inwestycji przewidziano 2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48</w:t>
      </w:r>
      <w:r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pojedynczych oraz 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18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rodzinnych </w:t>
      </w:r>
      <w:r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stanowisk w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podziemnej</w:t>
      </w:r>
      <w:r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hali garażowej</w:t>
      </w:r>
      <w:r w:rsidR="000C093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liczne stojaki na rowery oraz</w:t>
      </w:r>
      <w:r w:rsidR="00AC47C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5E2F97" w:rsidRPr="00AC47C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stanowisk</w:t>
      </w:r>
      <w:r w:rsidR="00AC47C6" w:rsidRPr="00AC47C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="005E2F97" w:rsidRPr="00AC47C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dla jednośladów</w:t>
      </w:r>
      <w:r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Natomiast n</w:t>
      </w:r>
      <w:r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 zewnątrz budynku zaprojektowano 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45</w:t>
      </w:r>
      <w:r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miejsc parkingowych.</w:t>
      </w:r>
      <w:r w:rsidR="000C093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6135C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</w:t>
      </w:r>
      <w:r w:rsidR="00E028C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odatkową</w:t>
      </w:r>
      <w:r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przestrzeń do przechowywania nieużywanych na co dzień przedmiotów</w:t>
      </w:r>
      <w:r w:rsidR="006135C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stanowić będą komórki lokatorskie. </w:t>
      </w:r>
    </w:p>
    <w:p w14:paraId="1D4AB6FB" w14:textId="77777777" w:rsidR="00B10C2E" w:rsidRPr="00991150" w:rsidRDefault="00B10C2E" w:rsidP="00B10C2E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78750B" wp14:editId="4D2F064E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4EFE5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565A8B5B" w14:textId="77777777" w:rsidR="00B10C2E" w:rsidRDefault="00B10C2E" w:rsidP="00B10C2E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6AA10988" w14:textId="77777777" w:rsidR="00B10C2E" w:rsidRDefault="00B10C2E" w:rsidP="00B10C2E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74F955A0" w14:textId="13CF2D54" w:rsidR="00812D37" w:rsidRDefault="00B10C2E" w:rsidP="00B10C2E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Zacisze Marcelin to idealna propozycja dla osób</w:t>
      </w:r>
      <w:r w:rsidR="002B3AF8"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pragnących</w:t>
      </w:r>
      <w:r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2B3AF8"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za</w:t>
      </w:r>
      <w:r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mieszkać w kameralnym</w:t>
      </w:r>
      <w:r w:rsidR="002B3AF8"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 zielonym</w:t>
      </w:r>
      <w:r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otoczeniu, a</w:t>
      </w:r>
      <w:r w:rsid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jednocześnie</w:t>
      </w:r>
      <w:r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w bliskim zasięgu centrum miasta</w:t>
      </w:r>
      <w:r w:rsidR="002B3AF8"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. </w:t>
      </w:r>
      <w:r w:rsidR="00C075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Będzie t</w:t>
      </w:r>
      <w:r w:rsidR="00C07505" w:rsidRP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 miejsce do życia wpisujące się w potrzeby poszukujących komfortowego osiedla o wysokim standardzie</w:t>
      </w:r>
      <w:r w:rsidR="00C075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. </w:t>
      </w:r>
      <w:r w:rsid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Projekt inwestycji powstał w duchu </w:t>
      </w:r>
      <w:proofErr w:type="spellStart"/>
      <w:r w:rsid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ekomobilności</w:t>
      </w:r>
      <w:proofErr w:type="spellEnd"/>
      <w:r w:rsidR="002B3AF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 z zastosowaniem szeregu udogodnień, które idą w parze z troską o środowisko</w:t>
      </w:r>
      <w:r w:rsidR="002A2E4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 przekładają się na oszczędność energii elektrycznej, co dla mieszkańców </w:t>
      </w:r>
      <w:r w:rsidR="00C075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oznacza</w:t>
      </w:r>
      <w:r w:rsidR="002A2E4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niższe rachunki za prąd</w:t>
      </w:r>
    </w:p>
    <w:p w14:paraId="3CDC6A90" w14:textId="77777777" w:rsidR="00B10C2E" w:rsidRPr="00991150" w:rsidRDefault="00B10C2E" w:rsidP="00B10C2E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11B9FA" wp14:editId="631864EA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BC586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6EF0DBFE" w14:textId="77777777" w:rsidR="00B10C2E" w:rsidRPr="00677427" w:rsidRDefault="00B10C2E" w:rsidP="00B10C2E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Członek Zarządu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29349CA1" w14:textId="77777777" w:rsidR="00B10C2E" w:rsidRDefault="00B10C2E" w:rsidP="00B10C2E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6CD3427A" w14:textId="0421C3D7" w:rsidR="00A23EB4" w:rsidRPr="00C76468" w:rsidRDefault="00B10C2E" w:rsidP="00F62BCA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Zacisze Marcelin</w:t>
      </w:r>
      <w:r w:rsidRPr="00541B6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76713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charakteryzuje</w:t>
      </w:r>
      <w:r w:rsidRPr="00541B6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przemyślana architektura</w:t>
      </w:r>
      <w:r w:rsidR="00987C6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a także nowoczesny i elegancki charakter. Na tle </w:t>
      </w:r>
      <w:r w:rsidR="00BE79B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okolicznych inwestycji</w:t>
      </w:r>
      <w:r w:rsidR="00987C6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osiedle wyróżnia niska zabudowa</w:t>
      </w:r>
      <w:r w:rsidR="0076713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dbałość o detale i</w:t>
      </w:r>
      <w:r w:rsidR="003C62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rozwiązania wpływające na komfort </w:t>
      </w:r>
      <w:r w:rsidR="00C7646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lokatorów</w:t>
      </w:r>
      <w:r w:rsidR="0076713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3C62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Projektując osiedle </w:t>
      </w:r>
      <w:r w:rsidR="00C7646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ATAL</w:t>
      </w:r>
      <w:r w:rsidR="003C62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postawił na zrównoważone budownictwo, a także proekologiczne i innowacyjne rozwiązania oraz optymalizacje, które w namacalny sposób ułatwią życie </w:t>
      </w:r>
      <w:r w:rsidR="003C62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 xml:space="preserve">przyszłym mieszkańcom. Są to chociażby </w:t>
      </w:r>
      <w:r w:rsidR="003C62D0" w:rsidRPr="003C62D0">
        <w:rPr>
          <w:rFonts w:asciiTheme="majorHAnsi" w:hAnsiTheme="majorHAnsi" w:cstheme="minorHAnsi"/>
          <w:sz w:val="22"/>
          <w:szCs w:val="22"/>
        </w:rPr>
        <w:t>energooszczędne systemy oświetleniowe</w:t>
      </w:r>
      <w:r w:rsidR="003C62D0" w:rsidRPr="003C62D0">
        <w:rPr>
          <w:rFonts w:asciiTheme="majorHAnsi" w:hAnsiTheme="majorHAnsi" w:cstheme="minorHAnsi"/>
          <w:color w:val="000000"/>
          <w:sz w:val="22"/>
          <w:szCs w:val="22"/>
        </w:rPr>
        <w:t xml:space="preserve"> czy technologie </w:t>
      </w:r>
      <w:r w:rsidR="003C62D0" w:rsidRPr="003C62D0">
        <w:rPr>
          <w:rFonts w:asciiTheme="majorHAnsi" w:hAnsiTheme="majorHAnsi" w:cstheme="minorHAnsi"/>
          <w:sz w:val="22"/>
          <w:szCs w:val="22"/>
        </w:rPr>
        <w:t>poprawiające efektywność energetyczną budynków</w:t>
      </w:r>
      <w:r w:rsidR="003C62D0">
        <w:rPr>
          <w:rFonts w:asciiTheme="majorHAnsi" w:hAnsiTheme="majorHAnsi" w:cstheme="minorHAnsi"/>
          <w:sz w:val="22"/>
          <w:szCs w:val="22"/>
        </w:rPr>
        <w:t xml:space="preserve"> w tym </w:t>
      </w:r>
      <w:r w:rsidR="003C62D0" w:rsidRPr="00961384">
        <w:rPr>
          <w:rFonts w:asciiTheme="majorHAnsi" w:hAnsiTheme="majorHAnsi" w:cstheme="minorHAnsi"/>
          <w:b/>
          <w:bCs/>
          <w:sz w:val="22"/>
          <w:szCs w:val="22"/>
        </w:rPr>
        <w:t>panele fotowoltaiczne</w:t>
      </w:r>
      <w:r w:rsidR="003C62D0" w:rsidRPr="003C62D0">
        <w:rPr>
          <w:rFonts w:asciiTheme="majorHAnsi" w:hAnsiTheme="majorHAnsi" w:cstheme="minorHAnsi"/>
          <w:sz w:val="22"/>
          <w:szCs w:val="22"/>
        </w:rPr>
        <w:t xml:space="preserve"> zasila</w:t>
      </w:r>
      <w:r w:rsidR="003C62D0">
        <w:rPr>
          <w:rFonts w:asciiTheme="majorHAnsi" w:hAnsiTheme="majorHAnsi" w:cstheme="minorHAnsi"/>
          <w:sz w:val="22"/>
          <w:szCs w:val="22"/>
        </w:rPr>
        <w:t>jące</w:t>
      </w:r>
      <w:r w:rsidR="003C62D0" w:rsidRPr="003C62D0">
        <w:rPr>
          <w:rFonts w:asciiTheme="majorHAnsi" w:hAnsiTheme="majorHAnsi" w:cstheme="minorHAnsi"/>
          <w:sz w:val="22"/>
          <w:szCs w:val="22"/>
        </w:rPr>
        <w:t xml:space="preserve"> oświetlenie części wspólnych oraz pompę ciepła</w:t>
      </w:r>
      <w:r w:rsidR="003C62D0">
        <w:rPr>
          <w:rFonts w:asciiTheme="majorHAnsi" w:hAnsiTheme="majorHAnsi" w:cstheme="minorHAnsi"/>
          <w:sz w:val="22"/>
          <w:szCs w:val="22"/>
        </w:rPr>
        <w:t xml:space="preserve"> w</w:t>
      </w:r>
      <w:r w:rsidR="003C62D0" w:rsidRPr="003C62D0">
        <w:rPr>
          <w:rFonts w:asciiTheme="majorHAnsi" w:hAnsiTheme="majorHAnsi" w:cstheme="minorHAnsi"/>
          <w:sz w:val="22"/>
          <w:szCs w:val="22"/>
        </w:rPr>
        <w:t>spomaga</w:t>
      </w:r>
      <w:r w:rsidR="003C62D0">
        <w:rPr>
          <w:rFonts w:asciiTheme="majorHAnsi" w:hAnsiTheme="majorHAnsi" w:cstheme="minorHAnsi"/>
          <w:sz w:val="22"/>
          <w:szCs w:val="22"/>
        </w:rPr>
        <w:t>jącą</w:t>
      </w:r>
      <w:r w:rsidR="003C62D0" w:rsidRPr="003C62D0">
        <w:rPr>
          <w:rFonts w:asciiTheme="majorHAnsi" w:hAnsiTheme="majorHAnsi" w:cstheme="minorHAnsi"/>
          <w:sz w:val="22"/>
          <w:szCs w:val="22"/>
        </w:rPr>
        <w:t xml:space="preserve"> ogrzewanie budynku i służ</w:t>
      </w:r>
      <w:r w:rsidR="003C62D0">
        <w:rPr>
          <w:rFonts w:asciiTheme="majorHAnsi" w:hAnsiTheme="majorHAnsi" w:cstheme="minorHAnsi"/>
          <w:sz w:val="22"/>
          <w:szCs w:val="22"/>
        </w:rPr>
        <w:t>ącą</w:t>
      </w:r>
      <w:r w:rsidR="003C62D0" w:rsidRPr="003C62D0">
        <w:rPr>
          <w:rFonts w:asciiTheme="majorHAnsi" w:hAnsiTheme="majorHAnsi" w:cstheme="minorHAnsi"/>
          <w:sz w:val="22"/>
          <w:szCs w:val="22"/>
        </w:rPr>
        <w:t xml:space="preserve"> do ogrzewania ciepłej wody. Wpłynie to na obniżenie zużycia energii i przełoży </w:t>
      </w:r>
      <w:r w:rsidR="003C62D0">
        <w:rPr>
          <w:rFonts w:asciiTheme="majorHAnsi" w:hAnsiTheme="majorHAnsi" w:cstheme="minorHAnsi"/>
          <w:sz w:val="22"/>
          <w:szCs w:val="22"/>
        </w:rPr>
        <w:t xml:space="preserve">się </w:t>
      </w:r>
      <w:r w:rsidR="003C62D0" w:rsidRPr="003C62D0">
        <w:rPr>
          <w:rFonts w:asciiTheme="majorHAnsi" w:hAnsiTheme="majorHAnsi" w:cstheme="minorHAnsi"/>
          <w:sz w:val="22"/>
          <w:szCs w:val="22"/>
        </w:rPr>
        <w:t xml:space="preserve">na realną oszczędność dla mieszkańców. </w:t>
      </w:r>
      <w:r w:rsidR="00F62BCA">
        <w:rPr>
          <w:rFonts w:asciiTheme="majorHAnsi" w:hAnsiTheme="majorHAnsi" w:cstheme="minorHAnsi"/>
          <w:sz w:val="22"/>
          <w:szCs w:val="22"/>
        </w:rPr>
        <w:t xml:space="preserve">Ponadto </w:t>
      </w:r>
      <w:r w:rsidR="00F62BCA" w:rsidRPr="00E964B4">
        <w:rPr>
          <w:rFonts w:asciiTheme="majorHAnsi" w:hAnsiTheme="majorHAnsi" w:cstheme="minorHAnsi"/>
          <w:b/>
          <w:bCs/>
          <w:sz w:val="22"/>
          <w:szCs w:val="22"/>
        </w:rPr>
        <w:t xml:space="preserve">projekt wspiera </w:t>
      </w:r>
      <w:proofErr w:type="spellStart"/>
      <w:r w:rsidR="00F62BCA" w:rsidRPr="00E964B4">
        <w:rPr>
          <w:rFonts w:asciiTheme="majorHAnsi" w:hAnsiTheme="majorHAnsi" w:cstheme="minorHAnsi"/>
          <w:b/>
          <w:bCs/>
          <w:sz w:val="22"/>
          <w:szCs w:val="22"/>
        </w:rPr>
        <w:t>ekomobilność</w:t>
      </w:r>
      <w:proofErr w:type="spellEnd"/>
      <w:r w:rsidR="00F62BCA">
        <w:rPr>
          <w:rFonts w:asciiTheme="majorHAnsi" w:hAnsiTheme="majorHAnsi" w:cstheme="minorHAnsi"/>
          <w:sz w:val="22"/>
          <w:szCs w:val="22"/>
        </w:rPr>
        <w:t xml:space="preserve"> – mieszkańcy mają możliwość zakupu </w:t>
      </w:r>
      <w:r w:rsidR="00F62BCA" w:rsidRPr="00E964B4">
        <w:rPr>
          <w:rFonts w:asciiTheme="majorHAnsi" w:hAnsiTheme="majorHAnsi" w:cstheme="minorHAnsi"/>
          <w:b/>
          <w:bCs/>
          <w:sz w:val="22"/>
          <w:szCs w:val="22"/>
        </w:rPr>
        <w:t>stanowiska parkingowego z możliwością ładowania baterii samochodów elektrycznych</w:t>
      </w:r>
      <w:r w:rsidR="00F62BCA">
        <w:rPr>
          <w:rFonts w:asciiTheme="majorHAnsi" w:hAnsiTheme="majorHAnsi" w:cstheme="minorHAnsi"/>
          <w:sz w:val="22"/>
          <w:szCs w:val="22"/>
        </w:rPr>
        <w:t xml:space="preserve">, </w:t>
      </w:r>
      <w:r w:rsidR="00F62BCA" w:rsidRPr="00E964B4">
        <w:rPr>
          <w:rFonts w:asciiTheme="majorHAnsi" w:hAnsiTheme="majorHAnsi" w:cstheme="minorHAnsi"/>
          <w:b/>
          <w:bCs/>
          <w:sz w:val="22"/>
          <w:szCs w:val="22"/>
        </w:rPr>
        <w:t xml:space="preserve">a dla właścicieli jednośladów zaplanowano miejsca postojowe i </w:t>
      </w:r>
      <w:r w:rsidR="00A23EB4" w:rsidRPr="00E964B4">
        <w:rPr>
          <w:rFonts w:asciiTheme="majorHAnsi" w:hAnsiTheme="majorHAnsi" w:cstheme="minorHAnsi"/>
          <w:b/>
          <w:bCs/>
          <w:sz w:val="22"/>
          <w:szCs w:val="22"/>
        </w:rPr>
        <w:t xml:space="preserve">samoobsługowe </w:t>
      </w:r>
      <w:r w:rsidR="00F62BCA" w:rsidRPr="00E964B4">
        <w:rPr>
          <w:rFonts w:asciiTheme="majorHAnsi" w:hAnsiTheme="majorHAnsi" w:cstheme="minorHAnsi"/>
          <w:b/>
          <w:bCs/>
          <w:sz w:val="22"/>
          <w:szCs w:val="22"/>
        </w:rPr>
        <w:t>stacje</w:t>
      </w:r>
      <w:r w:rsidR="00A23EB4" w:rsidRPr="00E964B4">
        <w:rPr>
          <w:rFonts w:asciiTheme="majorHAnsi" w:hAnsiTheme="majorHAnsi" w:cstheme="minorHAnsi"/>
          <w:b/>
          <w:bCs/>
          <w:sz w:val="22"/>
          <w:szCs w:val="22"/>
        </w:rPr>
        <w:t xml:space="preserve"> serwisowe</w:t>
      </w:r>
      <w:r w:rsidR="00A23EB4">
        <w:rPr>
          <w:rFonts w:asciiTheme="majorHAnsi" w:hAnsiTheme="majorHAnsi" w:cstheme="minorHAnsi"/>
          <w:sz w:val="22"/>
          <w:szCs w:val="22"/>
        </w:rPr>
        <w:t>, dzięki którym będą mogli zadbać o</w:t>
      </w:r>
      <w:r w:rsidR="00F62BCA">
        <w:rPr>
          <w:rFonts w:asciiTheme="majorHAnsi" w:hAnsiTheme="majorHAnsi" w:cstheme="minorHAnsi"/>
          <w:sz w:val="22"/>
          <w:szCs w:val="22"/>
        </w:rPr>
        <w:t xml:space="preserve"> </w:t>
      </w:r>
      <w:r w:rsidR="00A23EB4">
        <w:rPr>
          <w:rFonts w:asciiTheme="majorHAnsi" w:hAnsiTheme="majorHAnsi" w:cstheme="minorHAnsi"/>
          <w:sz w:val="22"/>
          <w:szCs w:val="22"/>
        </w:rPr>
        <w:t>jednoślady</w:t>
      </w:r>
      <w:r w:rsidR="00F62BCA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3CF102D5" w14:textId="2D0BBF52" w:rsidR="003C62D0" w:rsidRPr="00C76468" w:rsidRDefault="00BD07DC" w:rsidP="003C62D0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Wyjątkowym a</w:t>
      </w:r>
      <w:r w:rsidR="003C62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tutem jest znajdujący się </w:t>
      </w:r>
      <w:r w:rsidR="003C62D0" w:rsidRPr="00E964B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na terenie kompleksu ogólnodostępny park</w:t>
      </w:r>
      <w:r w:rsidR="0022446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zachęcający do wypoczynku i relaksu na łonie natury tuż za progiem swojego mieszkania. Powstanie tu także </w:t>
      </w:r>
      <w:r w:rsidR="008367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łąk</w:t>
      </w:r>
      <w:r w:rsidR="00224465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</w:t>
      </w:r>
      <w:r w:rsidR="008367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kwietn</w:t>
      </w:r>
      <w:r w:rsidR="00224465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</w:t>
      </w:r>
      <w:r w:rsidR="008367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w której </w:t>
      </w:r>
      <w:r w:rsidR="00CA365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pobliżu </w:t>
      </w:r>
      <w:r w:rsidR="008367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staną </w:t>
      </w:r>
      <w:r w:rsidR="00836756" w:rsidRPr="00E964B4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 xml:space="preserve">domki dla </w:t>
      </w:r>
      <w:r w:rsidR="00C76468" w:rsidRPr="00E964B4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 xml:space="preserve">zagrożonych wyginięciem </w:t>
      </w:r>
      <w:r w:rsidR="00836756" w:rsidRPr="00E964B4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owadów</w:t>
      </w:r>
      <w:r w:rsidR="008367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 Z</w:t>
      </w:r>
      <w:r w:rsidR="003C62D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myślą o najmłodszych mieszkańcach </w:t>
      </w:r>
      <w:r w:rsidR="008367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na terenie osiedla </w:t>
      </w:r>
      <w:r w:rsidR="003C62D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</w:t>
      </w:r>
      <w:r w:rsidR="00224465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rzewidziano</w:t>
      </w:r>
      <w:r w:rsidR="003C62D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3C62D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plac zabaw.</w:t>
      </w:r>
      <w:r w:rsidR="003C62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3C62D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Inwestycja zostanie dostosowana do potrzeb </w:t>
      </w:r>
      <w:r w:rsidR="008367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rodzin z małymi dziećmi i </w:t>
      </w:r>
      <w:r w:rsidR="003C62D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osób </w:t>
      </w:r>
      <w:r w:rsidR="0083675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 ograniczoną mobilnością </w:t>
      </w:r>
      <w:r w:rsidR="003C62D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– szerokie ciągi komunikacyjne, niskie krawężniki, brak barier architektonicznych oraz</w:t>
      </w:r>
      <w:r w:rsidR="003C62D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cichobieżne windy</w:t>
      </w:r>
      <w:r w:rsidR="003C62D0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ułatwią poruszanie się w obrębie budynków.</w:t>
      </w:r>
    </w:p>
    <w:p w14:paraId="44E14648" w14:textId="73D506A8" w:rsidR="00D5021C" w:rsidRPr="00406EDD" w:rsidRDefault="00D5021C" w:rsidP="00B10C2E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Osiedle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jest położon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e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na poznańskiej Ławicy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– to dzielnica,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która przyciąga mieszkańców ziel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ą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 spokojn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ą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 zadban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ą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okolic</w:t>
      </w:r>
      <w:r w:rsidR="00F0743C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ą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Pobliskie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teren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y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rekreacyjn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e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 w tym Las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e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k Marceliński,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są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znakomit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ą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przestrze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nią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dla osób pragnących na co dzień odpoczywać od miejskiego zgiełku. Rodziny z dziećmi docenią położone nieopodal placówki edukacyjne – przedszkola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 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szkoły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 Udogodnieniem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dla mieszkańców 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będą znajdujące się w sąsiedztwie supermarkety oraz centrum handlowe King Cross Marcelin z szeroką ofertą sklepów i punktów usługowych.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Atutem   jest także dobra komunikacja z najważniejszymi punktami miasta. N</w:t>
      </w:r>
      <w:r w:rsidR="00B10C2E" w:rsidRP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ajbliższy przystanek 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autobusowy </w:t>
      </w:r>
      <w:r w:rsidR="00B10C2E" w:rsidRP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jest w odległości kilkuminutowego spaceru,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a zmotoryzowani do 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Starego Rynku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mogą dostać się w 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zaledwie 20 minut. </w:t>
      </w:r>
      <w:r w:rsidR="00B10C2E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Ponadto infrastruktura transportowa zapewnia szybki dostęp do pozostałych części </w:t>
      </w:r>
      <w:r w:rsidR="00B10C2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Poznania.</w:t>
      </w:r>
    </w:p>
    <w:p w14:paraId="5B4C2B2B" w14:textId="3E6D2864" w:rsidR="00B10C2E" w:rsidRPr="00AB40C0" w:rsidRDefault="00B10C2E" w:rsidP="00B10C2E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Osiedle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Zacisze Marcelin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to nie jedyna propozycja ATAL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 Poznaniu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Deweloper oferuje mieszkania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 I </w:t>
      </w:r>
      <w:proofErr w:type="spellStart"/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i</w:t>
      </w:r>
      <w:proofErr w:type="spellEnd"/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II etapu inwestycji Apartamenty Dmowskiego – osiedla zlokalizowanego na Górczynie, </w:t>
      </w:r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przy ul. </w:t>
      </w:r>
      <w:proofErr w:type="spellStart"/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Krauthofera</w:t>
      </w:r>
      <w:proofErr w:type="spellEnd"/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22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</w:t>
      </w:r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Sprzedaż trwa także w Ptasiej 20. T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</w:t>
      </w:r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kameraln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 inwestycja </w:t>
      </w:r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powstaje w jednej z najmodniejszych dzielnic stolicy Wielkopolski – na Grunwaldzie.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Dostępne są także mieszkania w ATAL Warta </w:t>
      </w:r>
      <w:proofErr w:type="spellStart"/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Towers</w:t>
      </w:r>
      <w:proofErr w:type="spellEnd"/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</w:t>
      </w:r>
      <w:r w:rsidR="00E028C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czyli</w:t>
      </w:r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AB40C0">
        <w:rPr>
          <w:rFonts w:asciiTheme="majorHAnsi" w:hAnsiTheme="majorHAnsi" w:cstheme="majorHAnsi"/>
          <w:sz w:val="22"/>
          <w:szCs w:val="22"/>
        </w:rPr>
        <w:t>17-piętrowy</w:t>
      </w:r>
      <w:r w:rsidR="00E028C7">
        <w:rPr>
          <w:rFonts w:asciiTheme="majorHAnsi" w:hAnsiTheme="majorHAnsi" w:cstheme="majorHAnsi"/>
          <w:sz w:val="22"/>
          <w:szCs w:val="22"/>
        </w:rPr>
        <w:t>m</w:t>
      </w:r>
      <w:r w:rsidRPr="00AB40C0">
        <w:rPr>
          <w:rFonts w:asciiTheme="majorHAnsi" w:hAnsiTheme="majorHAnsi" w:cstheme="majorHAnsi"/>
          <w:sz w:val="22"/>
          <w:szCs w:val="22"/>
        </w:rPr>
        <w:t xml:space="preserve"> k</w:t>
      </w:r>
      <w:r w:rsidR="00E028C7">
        <w:rPr>
          <w:rFonts w:asciiTheme="majorHAnsi" w:hAnsiTheme="majorHAnsi" w:cstheme="majorHAnsi"/>
          <w:sz w:val="22"/>
          <w:szCs w:val="22"/>
        </w:rPr>
        <w:t>ompleksie</w:t>
      </w:r>
      <w:r w:rsidRPr="00AB40C0">
        <w:rPr>
          <w:rFonts w:asciiTheme="majorHAnsi" w:hAnsiTheme="majorHAnsi" w:cstheme="majorHAnsi"/>
          <w:sz w:val="22"/>
          <w:szCs w:val="22"/>
        </w:rPr>
        <w:t xml:space="preserve"> zlokalizowany</w:t>
      </w:r>
      <w:r w:rsidR="00E028C7">
        <w:rPr>
          <w:rFonts w:asciiTheme="majorHAnsi" w:hAnsiTheme="majorHAnsi" w:cstheme="majorHAnsi"/>
          <w:sz w:val="22"/>
          <w:szCs w:val="22"/>
        </w:rPr>
        <w:t>m</w:t>
      </w:r>
      <w:r w:rsidRPr="00AB40C0">
        <w:rPr>
          <w:rFonts w:asciiTheme="majorHAnsi" w:hAnsiTheme="majorHAnsi" w:cstheme="majorHAnsi"/>
          <w:sz w:val="22"/>
          <w:szCs w:val="22"/>
        </w:rPr>
        <w:t xml:space="preserve"> nieopodal Warty, w dzielnicy Nowe Miasto.</w:t>
      </w:r>
    </w:p>
    <w:p w14:paraId="1420EF7C" w14:textId="73AE9E2C" w:rsidR="00B10C2E" w:rsidRPr="00406EDD" w:rsidRDefault="00B10C2E" w:rsidP="00B10C2E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Planowany termin oddania </w:t>
      </w:r>
      <w:r w:rsidR="00E028C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etapu IB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osiedla Zacisze Marcelin </w:t>
      </w:r>
      <w:r w:rsidRPr="008B558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to I</w:t>
      </w:r>
      <w:r w:rsidR="00E028C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II</w:t>
      </w:r>
      <w:r w:rsidRPr="008B558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kw. 202</w:t>
      </w:r>
      <w:r w:rsidR="00E028C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3</w:t>
      </w:r>
      <w:r w:rsidRPr="008B558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roku. </w:t>
      </w:r>
      <w:r w:rsidRP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Za projekt odpowiada </w:t>
      </w:r>
      <w:r w:rsidRPr="0037516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pracownia </w:t>
      </w:r>
      <w:proofErr w:type="spellStart"/>
      <w:r w:rsidRPr="0037516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Archymetria</w:t>
      </w:r>
      <w:proofErr w:type="spellEnd"/>
      <w:r w:rsidRPr="0037516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</w:t>
      </w:r>
    </w:p>
    <w:p w14:paraId="4E9019E0" w14:textId="77777777" w:rsidR="00B10C2E" w:rsidRPr="00406EDD" w:rsidRDefault="00B10C2E" w:rsidP="00B10C2E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406EDD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8" w:history="1">
        <w:r w:rsidRPr="00AA41C6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Pr="00AA41C6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zaciszemarcelin.pl</w:t>
        </w:r>
      </w:hyperlink>
    </w:p>
    <w:p w14:paraId="093D7833" w14:textId="77777777" w:rsidR="00B10C2E" w:rsidRPr="00991150" w:rsidRDefault="00B10C2E" w:rsidP="00B10C2E">
      <w:pPr>
        <w:spacing w:line="240" w:lineRule="auto"/>
        <w:rPr>
          <w:rFonts w:asciiTheme="majorHAnsi" w:hAnsiTheme="majorHAnsi" w:cstheme="majorHAnsi"/>
        </w:rPr>
      </w:pPr>
    </w:p>
    <w:p w14:paraId="1638FD7E" w14:textId="77777777" w:rsidR="00B10C2E" w:rsidRPr="00991150" w:rsidRDefault="00B10C2E" w:rsidP="00B10C2E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E44E95" wp14:editId="06A78159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3AA1B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236190C2" w14:textId="77777777" w:rsidR="00B10C2E" w:rsidRPr="004009C7" w:rsidRDefault="00B10C2E" w:rsidP="00B10C2E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9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70FB2EFA" w14:textId="77777777" w:rsidR="00B10C2E" w:rsidRDefault="00B10C2E" w:rsidP="00B10C2E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19F74A" wp14:editId="7630C86B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7E299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6F46181D" w14:textId="77777777" w:rsidR="00B10C2E" w:rsidRPr="00BB7A50" w:rsidRDefault="00B10C2E" w:rsidP="00B10C2E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5010BD4F" w14:textId="77777777" w:rsidR="00B10C2E" w:rsidRPr="004009C7" w:rsidRDefault="00B10C2E" w:rsidP="00B10C2E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lastRenderedPageBreak/>
        <w:t>Dodatkowych informacji udziela:</w:t>
      </w:r>
    </w:p>
    <w:p w14:paraId="2D3B5AD0" w14:textId="77777777" w:rsidR="00B10C2E" w:rsidRPr="004009C7" w:rsidRDefault="00B10C2E" w:rsidP="00B10C2E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</w:t>
      </w:r>
      <w:proofErr w:type="spellStart"/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Laszkowska</w:t>
      </w:r>
      <w:proofErr w:type="spellEnd"/>
    </w:p>
    <w:p w14:paraId="5917B29B" w14:textId="77777777" w:rsidR="00B10C2E" w:rsidRPr="00C408B3" w:rsidRDefault="00B10C2E" w:rsidP="00B10C2E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7D2BC45D" w14:textId="77777777" w:rsidR="00B10C2E" w:rsidRPr="00C408B3" w:rsidRDefault="00B10C2E" w:rsidP="00B10C2E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proofErr w:type="spellStart"/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</w:t>
      </w:r>
      <w:proofErr w:type="spellEnd"/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 xml:space="preserve"> Borkowski</w:t>
      </w:r>
    </w:p>
    <w:p w14:paraId="13191EBF" w14:textId="77777777" w:rsidR="00B10C2E" w:rsidRPr="00C408B3" w:rsidRDefault="00B10C2E" w:rsidP="00B10C2E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45BD3BB6" w14:textId="77777777" w:rsidR="00B10C2E" w:rsidRPr="00D90B98" w:rsidRDefault="00B10C2E" w:rsidP="00B10C2E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10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1D7B0C69" w14:textId="77777777" w:rsidR="00B10C2E" w:rsidRDefault="00B10C2E" w:rsidP="00B10C2E"/>
    <w:p w14:paraId="1497DAC2" w14:textId="77777777" w:rsidR="00B10C2E" w:rsidRDefault="00B10C2E" w:rsidP="00B10C2E"/>
    <w:p w14:paraId="20B00A50" w14:textId="77777777" w:rsidR="00B10C2E" w:rsidRDefault="00B10C2E" w:rsidP="00B10C2E"/>
    <w:p w14:paraId="3CBBC978" w14:textId="77777777" w:rsidR="00B77DFB" w:rsidRDefault="00B77DFB"/>
    <w:sectPr w:rsidR="00B77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DDCC" w14:textId="77777777" w:rsidR="00661F98" w:rsidRDefault="00661F98" w:rsidP="00042764">
      <w:pPr>
        <w:spacing w:after="0" w:line="240" w:lineRule="auto"/>
      </w:pPr>
      <w:r>
        <w:separator/>
      </w:r>
    </w:p>
  </w:endnote>
  <w:endnote w:type="continuationSeparator" w:id="0">
    <w:p w14:paraId="77390487" w14:textId="77777777" w:rsidR="00661F98" w:rsidRDefault="00661F98" w:rsidP="0004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DD95" w14:textId="77777777" w:rsidR="00661F98" w:rsidRDefault="00661F98" w:rsidP="00042764">
      <w:pPr>
        <w:spacing w:after="0" w:line="240" w:lineRule="auto"/>
      </w:pPr>
      <w:r>
        <w:separator/>
      </w:r>
    </w:p>
  </w:footnote>
  <w:footnote w:type="continuationSeparator" w:id="0">
    <w:p w14:paraId="65800E96" w14:textId="77777777" w:rsidR="00661F98" w:rsidRDefault="00661F98" w:rsidP="00042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2E"/>
    <w:rsid w:val="00042764"/>
    <w:rsid w:val="000C093E"/>
    <w:rsid w:val="00224465"/>
    <w:rsid w:val="002369F2"/>
    <w:rsid w:val="002A2E4A"/>
    <w:rsid w:val="002B3AF8"/>
    <w:rsid w:val="002D65CA"/>
    <w:rsid w:val="00351014"/>
    <w:rsid w:val="00375163"/>
    <w:rsid w:val="003C62D0"/>
    <w:rsid w:val="004F293E"/>
    <w:rsid w:val="005E2F97"/>
    <w:rsid w:val="006135CE"/>
    <w:rsid w:val="00661F98"/>
    <w:rsid w:val="00760AF9"/>
    <w:rsid w:val="00761D71"/>
    <w:rsid w:val="00767134"/>
    <w:rsid w:val="007A1F70"/>
    <w:rsid w:val="007F4BB8"/>
    <w:rsid w:val="008017AA"/>
    <w:rsid w:val="00812D37"/>
    <w:rsid w:val="00836756"/>
    <w:rsid w:val="008553EB"/>
    <w:rsid w:val="00961384"/>
    <w:rsid w:val="00987C6F"/>
    <w:rsid w:val="009C6E1E"/>
    <w:rsid w:val="00A23EB4"/>
    <w:rsid w:val="00A40039"/>
    <w:rsid w:val="00AA45BD"/>
    <w:rsid w:val="00AB52D6"/>
    <w:rsid w:val="00AC47C6"/>
    <w:rsid w:val="00B10C2E"/>
    <w:rsid w:val="00B75DED"/>
    <w:rsid w:val="00B77DFB"/>
    <w:rsid w:val="00BD07DC"/>
    <w:rsid w:val="00BE79BE"/>
    <w:rsid w:val="00C07505"/>
    <w:rsid w:val="00C44725"/>
    <w:rsid w:val="00C76468"/>
    <w:rsid w:val="00CA365B"/>
    <w:rsid w:val="00D5021C"/>
    <w:rsid w:val="00E028C7"/>
    <w:rsid w:val="00E964B4"/>
    <w:rsid w:val="00EE685D"/>
    <w:rsid w:val="00F0743C"/>
    <w:rsid w:val="00F30706"/>
    <w:rsid w:val="00F6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EE79"/>
  <w15:chartTrackingRefBased/>
  <w15:docId w15:val="{5D83C31D-0535-4CFC-887D-A351F8D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C2E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10C2E"/>
    <w:rPr>
      <w:color w:val="000080"/>
      <w:u w:val="single"/>
    </w:rPr>
  </w:style>
  <w:style w:type="paragraph" w:styleId="Bezodstpw">
    <w:name w:val="No Spacing"/>
    <w:uiPriority w:val="1"/>
    <w:qFormat/>
    <w:rsid w:val="00B10C2E"/>
    <w:pPr>
      <w:spacing w:after="0" w:line="240" w:lineRule="auto"/>
    </w:pPr>
    <w:rPr>
      <w:rFonts w:eastAsiaTheme="minorEastAsia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7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764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76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23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09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181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520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ciszemarce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@ata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a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393A-E8F9-4DD7-AAA5-41A21D2D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42</cp:revision>
  <dcterms:created xsi:type="dcterms:W3CDTF">2021-09-10T07:30:00Z</dcterms:created>
  <dcterms:modified xsi:type="dcterms:W3CDTF">2021-09-14T06:53:00Z</dcterms:modified>
</cp:coreProperties>
</file>