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598" w14:textId="77777777" w:rsidR="00224D8C" w:rsidRPr="004F177C" w:rsidRDefault="00224D8C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2D3401" wp14:editId="5B30F00A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A1906" w14:textId="77777777" w:rsidR="00224D8C" w:rsidRPr="004F177C" w:rsidRDefault="00224D8C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C8EEF17" w14:textId="77777777" w:rsidR="00224D8C" w:rsidRDefault="00224D8C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277457C" w14:textId="215F9B28" w:rsidR="00224D8C" w:rsidRPr="00DB224F" w:rsidRDefault="00224D8C" w:rsidP="00224D8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B8392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4A346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</w:t>
      </w:r>
      <w:r w:rsidR="00B8392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ja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3A6A693C" w14:textId="1B79C0CA" w:rsidR="00B83923" w:rsidRDefault="00224D8C" w:rsidP="000E09F6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Nowe Miasto Jagodno</w:t>
      </w:r>
      <w:r w:rsidR="00B83923">
        <w:rPr>
          <w:rFonts w:ascii="Calibri" w:eastAsia="Calibri" w:hAnsi="Calibri" w:cs="Calibri"/>
          <w:b/>
          <w:bCs/>
          <w:sz w:val="48"/>
          <w:szCs w:val="48"/>
        </w:rPr>
        <w:t xml:space="preserve"> – nowy etap już w sprzedaży</w:t>
      </w:r>
    </w:p>
    <w:p w14:paraId="56451300" w14:textId="1EA90AA8" w:rsidR="00224D8C" w:rsidRDefault="00224D8C" w:rsidP="00224D8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wprowadził do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sprzedaż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kolejn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y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etap wrocławskiego projektu Nowe Miasto Jagodno. 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Do oferty trafiło 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227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mieszkań o metraż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ach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33-98 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mkw.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 zróżnicowanych układach, w</w:t>
      </w:r>
      <w:r w:rsidR="0079486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tym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także </w:t>
      </w:r>
      <w:r w:rsidR="00B7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lokale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7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posiadające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antresol</w:t>
      </w:r>
      <w:r w:rsidR="00B7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224D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Inwestycja powstaje u zbiegu ulic Asfaltowej i Buforowej, w dynamicznie rozwijającej się części miasta.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0E09F6" w:rsidRP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Cena za mkw. zaczyna się od 6 </w:t>
      </w:r>
      <w:r w:rsidR="00836C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8</w:t>
      </w:r>
      <w:r w:rsidR="000E09F6" w:rsidRP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00 złotych brutto</w:t>
      </w:r>
      <w:r w:rsidR="00836C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a w przypadku mieszkań z antresolą od </w:t>
      </w:r>
      <w:r w:rsidR="00836CDA" w:rsidRP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6 </w:t>
      </w:r>
      <w:r w:rsidR="00836C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4</w:t>
      </w:r>
      <w:r w:rsidR="00836CDA" w:rsidRP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00 złotych brutto</w:t>
      </w:r>
      <w:r w:rsidR="000E09F6" w:rsidRP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0E09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32F6D31F" w14:textId="7ED7B8A9" w:rsidR="00224D8C" w:rsidRPr="001C7C25" w:rsidRDefault="00224D8C" w:rsidP="00224D8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24D8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Nowe Miasto Jagodno powstaje w południowej części Wrocławia, u zbiegu ulic Asfaltowej oraz Buforowej – w perspektywicznej i rozwijającej się dzielnicy Krzyki.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We wprowadzonej do sprzedaży czwartej części projektu zaplanowano realizację dwóch </w:t>
      </w:r>
      <w:r w:rsidR="0079486B"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czteropiętrow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 w:rsidR="0079486B"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dw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óch</w:t>
      </w:r>
      <w:r w:rsidR="0079486B"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pięciopiętrow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 budynków, w których powstanie w sumie 227 mieszkań.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ofercie są funkcjonalnie zaprojektowane, zróżnicowane i ergonomiczne wnętrza o metrażu od 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33,36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98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,2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oraz układach od 2 do 4 pokoi. </w:t>
      </w:r>
      <w:r w:rsid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Dostępne są także mieszkania z antresolami</w:t>
      </w:r>
      <w:r w:rsidR="004F275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które dają szerokie możliwości aranżacyjne.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Uzupełnieniem komfortowej przestrzeni mieszkalnej będą przestronne balkony </w:t>
      </w:r>
      <w:r w:rsidR="00CF0F8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tarasy </w:t>
      </w:r>
      <w:r w:rsidR="00D5727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(</w:t>
      </w:r>
      <w:r w:rsidR="00CF0F8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tym również</w:t>
      </w:r>
      <w:r w:rsidR="0059621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prywatne </w:t>
      </w:r>
      <w:r w:rsidR="00A60E3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zielone</w:t>
      </w:r>
      <w:r w:rsidR="00CF0F8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tarasy na dach</w:t>
      </w:r>
      <w:r w:rsidR="00A60E3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ach</w:t>
      </w:r>
      <w:r w:rsidR="00D5727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)</w:t>
      </w:r>
      <w:r w:rsidR="00CF0F8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oraz – w przypadku parterowych lokali – indywidualne ogródki. Na terenie inwestycji przewidziano 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228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stanowisk parkingowych w hali garażowej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tym miejsca rodzinne oraz </w:t>
      </w:r>
      <w:r w:rsidR="005E6862" w:rsidRP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miejsca </w:t>
      </w:r>
      <w:r w:rsidR="00A4689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przystosowane do montażu stacji ładowania </w:t>
      </w:r>
      <w:r w:rsidR="005E6862" w:rsidRP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baterii 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pojazdów</w:t>
      </w:r>
      <w:r w:rsidR="005E6862" w:rsidRP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elektrycznych.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Dodatkowo, na zewnątrz budynku zaprojektowano 4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miejsc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parkingow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Przestrzeń do przechowywania rzadziej używanych przedmiotów stanowić będzie </w:t>
      </w:r>
      <w:r w:rsidR="005E686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115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komórek lokatorski</w:t>
      </w:r>
      <w:r w:rsidR="00A60E3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ch</w:t>
      </w:r>
      <w:r w:rsidRPr="0079486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420E2A39" w14:textId="77777777" w:rsidR="00224D8C" w:rsidRPr="00991150" w:rsidRDefault="00224D8C" w:rsidP="00224D8C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759C20" wp14:editId="5DF3786D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9D13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4769E01" w14:textId="77777777" w:rsidR="00224D8C" w:rsidRDefault="00224D8C" w:rsidP="00224D8C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45986946" w14:textId="77777777" w:rsidR="00224D8C" w:rsidRDefault="00224D8C" w:rsidP="00224D8C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30B8544" w14:textId="39C642C6" w:rsidR="00224D8C" w:rsidRDefault="005500E2" w:rsidP="00CB58FD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Nowe Miasto Jagodno zostało zaprojektowane tak, aby atrakcyjna architektura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F50450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stworzony z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troską o komfort mieszkańców </w:t>
      </w:r>
      <w:r w:rsidR="00AF06D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teren osiedla 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oraz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zróżnicowana oferta mieszkań odpowiadały na potrzeby poszukujących nieruchomości wrocławian. </w:t>
      </w:r>
      <w:r w:rsidR="004869B2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Pragniemy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zapewnić mieszkańcom wysokiej jakości przestrzeń do życia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 a także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komfort i wygodę mieszkania w perspektywicznej i rozwijającej się dzielnic</w:t>
      </w:r>
      <w:r w:rsidR="004869B2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. 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Atutem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wprowadzon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ego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właśnie do oferty czwart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ego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etap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u</w:t>
      </w:r>
      <w:r w:rsidR="00B46405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osiedla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jest szeroka oferta lokali, wśród których są także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mieszkania z antresolami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dają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ce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wiele możliwości aranżacji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. Takie lokale to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obecnie bardzo pożądany produk</w:t>
      </w:r>
      <w:r w:rsidR="00CB58F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t na rynku mieszkaniowym</w:t>
      </w:r>
    </w:p>
    <w:p w14:paraId="6C042537" w14:textId="77777777" w:rsidR="00224D8C" w:rsidRPr="00991150" w:rsidRDefault="00224D8C" w:rsidP="00224D8C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5FD0BA" wp14:editId="56D75552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6BDA2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7614B2EE" w14:textId="77777777" w:rsidR="00224D8C" w:rsidRPr="00677427" w:rsidRDefault="00224D8C" w:rsidP="00224D8C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363407ED" w14:textId="77777777" w:rsidR="00D773FF" w:rsidRDefault="00D773FF" w:rsidP="00D773FF">
      <w:pPr>
        <w:spacing w:before="24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546986" w14:textId="0C982BF7" w:rsidR="00536C7A" w:rsidRPr="00536C7A" w:rsidRDefault="00CF0F8B" w:rsidP="004C6992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C7A">
        <w:rPr>
          <w:rFonts w:asciiTheme="majorHAnsi" w:hAnsiTheme="majorHAnsi" w:cstheme="majorHAnsi"/>
          <w:sz w:val="22"/>
          <w:szCs w:val="22"/>
        </w:rPr>
        <w:t>Pierwszy etap osiedla Nowe Miasto Jagodno składa się z trzech pięciopiętrowych budynków</w:t>
      </w:r>
      <w:r w:rsidR="00536C7A" w:rsidRPr="00536C7A">
        <w:rPr>
          <w:rFonts w:asciiTheme="majorHAnsi" w:hAnsiTheme="majorHAnsi" w:cstheme="majorHAnsi"/>
          <w:sz w:val="22"/>
          <w:szCs w:val="22"/>
        </w:rPr>
        <w:t xml:space="preserve">, w których zaprojektowano 187 mieszkań. Dostępnych w sprzedaży jest już tylko 46 z nich. Drugi etap składa się z dwóch sześciokondygnacyjnych budynków z 111 mieszkaniami, a trzeci etap to pięć budynków z 295 mieszkaniami – w sprzedaży </w:t>
      </w:r>
      <w:r w:rsidR="009A4EAC">
        <w:rPr>
          <w:rFonts w:asciiTheme="majorHAnsi" w:hAnsiTheme="majorHAnsi" w:cstheme="majorHAnsi"/>
          <w:sz w:val="22"/>
          <w:szCs w:val="22"/>
        </w:rPr>
        <w:t>są</w:t>
      </w:r>
      <w:r w:rsidR="00536C7A" w:rsidRPr="00536C7A">
        <w:rPr>
          <w:rFonts w:asciiTheme="majorHAnsi" w:hAnsiTheme="majorHAnsi" w:cstheme="majorHAnsi"/>
          <w:sz w:val="22"/>
          <w:szCs w:val="22"/>
        </w:rPr>
        <w:t xml:space="preserve"> odpowiednio 37 i 103 lokal</w:t>
      </w:r>
      <w:r w:rsidR="00D57279">
        <w:rPr>
          <w:rFonts w:asciiTheme="majorHAnsi" w:hAnsiTheme="majorHAnsi" w:cstheme="majorHAnsi"/>
          <w:sz w:val="22"/>
          <w:szCs w:val="22"/>
        </w:rPr>
        <w:t>e</w:t>
      </w:r>
      <w:r w:rsidR="00536C7A" w:rsidRPr="00536C7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BBCFD0B" w14:textId="708C70AD" w:rsidR="00DF7668" w:rsidRDefault="00DF7668" w:rsidP="004C699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lastRenderedPageBreak/>
        <w:t xml:space="preserve">Nowe Miasto Jagodno to osiedle o nowoczesnym charakterze, które wyróżnia ciekawa, zróżnicowana architektura. </w:t>
      </w:r>
      <w:r w:rsidR="00184F8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 każdym etapie 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osiedla </w:t>
      </w:r>
      <w:r w:rsidR="00184F8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budynki mają 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inną bryłę i różnią się wysokości, </w:t>
      </w:r>
      <w:r w:rsidR="00184F8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lecz łączy je spójna estetyka i kolorystyka. </w:t>
      </w:r>
      <w:r w:rsidR="00902304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Jagodno wkomponuje się w otoczenie, uzupełniając krajobraz atrakcyjną </w:t>
      </w:r>
      <w:r w:rsidR="00BD1E3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zabudową</w:t>
      </w:r>
      <w:r w:rsidR="00902304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4C0D2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uwagę zasługuj</w:t>
      </w:r>
      <w:r w:rsidR="00971B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4C0D2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także zaplanowana z myślą o komforcie i dobrosąsiedztwie przestrzeń wspólna</w:t>
      </w:r>
      <w:r w:rsidR="00971B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osiedla</w:t>
      </w:r>
      <w:r w:rsidR="004C0D2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wypełniona zielenią i małą architekturą</w:t>
      </w:r>
      <w:r w:rsidR="00971B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Z myślą o najmłodszych powstaną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tu</w:t>
      </w:r>
      <w:r w:rsidR="00971B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place zabaw. </w:t>
      </w:r>
      <w:r w:rsidR="00971B51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Osiedle zostanie dostosowane do potrzeb osób niepełnosprawnych – niskie progi, szerokie ciągi piesze oraz cichobieżne windy zapewnią sprawne przemieszczanie.</w:t>
      </w:r>
      <w:r w:rsidR="00971B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971B51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Intuicyjny i energooszczędny system oświetleniowy oraz całodobowy monitoring sprawią, że 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osiedle</w:t>
      </w:r>
      <w:r w:rsidR="00971B51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będzie nie tylko bezpieczn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971B51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ale i wyjątkowo przyjazn</w:t>
      </w:r>
      <w:r w:rsidR="009023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971B51"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mieszkańcom. </w:t>
      </w:r>
    </w:p>
    <w:p w14:paraId="02D479BF" w14:textId="75BD90B3" w:rsidR="00640327" w:rsidRPr="00847ACF" w:rsidRDefault="00640327" w:rsidP="004C699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64032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Jagodno powstaje na Krzykach – dynamicznie rozwijającej się i zyskującej na popularności dzielnicy. Ta lokalizacja gwarantuje dogodny dojazd do centrum miasta oraz poza Wrocław. Co istotne, infrastruktura komunikacyjna będzie stopniowo rozbudowywana – w planach jest m.in. przebudowa ul. Buforowej oraz budowa linii tramwajowej.  W niewielkiej odległości znajdują się liczne sklepy i punktu usługowe. W okolicy jest duże centrum handlowe oraz Wrocławski Park Wodny – miejsce aktywnego wypoczynku, chętnie odwiedzane przez wrocławian. Rodziny z dziećmi docenią bliskość placówek </w:t>
      </w:r>
      <w:r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oświaty – </w:t>
      </w:r>
      <w:r w:rsidR="0054433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niedaleko</w:t>
      </w:r>
      <w:r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są zarówno przedszkola, jak i szkoły podstawowe.</w:t>
      </w:r>
    </w:p>
    <w:p w14:paraId="6DD221AB" w14:textId="3829A052" w:rsidR="00847ACF" w:rsidRPr="00847ACF" w:rsidRDefault="00847ACF" w:rsidP="004C699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Jagodno </w:t>
      </w:r>
      <w:r w:rsidR="00224D8C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nie jedyna propozycja ATAL </w:t>
      </w:r>
      <w:r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dla poszukujących nieruchomości na pierwotnym rynku we Wrocławiu. Deweloper oferuje tu również mieszkania na kameralnym osiedlu ATAL Oporów, które powstaje przy ul. Cesarzowickiej, w bliskim sąsiedztwie terenów zielonych. Dostępne są także mieszkania w wieloetapowym projekcie Nowe Miasto Różanka powstającym w północnej części miasta przy ul. Obornickiej, niedaleko Odry. Projekt tego osiedla obejmuje rewitalizację zabytkowego spichlerza i pozostałych zabudowań dawnego zespołu „Młyna Różanka”. Na Przedmieściu Oławskim, w nieustannie rozwijającej się dzielnicy ATAL realizuje kompleks ATAL City Square, który składa się z części mieszkalnej oraz aparthotelowej. Na nabywców czekają także apartamenty inwestycyjne w Krakowskiej 37 – projekt powstaje w dzielnicy Krzyki z łatwym dostępem do centrum miasta.</w:t>
      </w:r>
    </w:p>
    <w:p w14:paraId="7A480F10" w14:textId="30079C38" w:rsidR="00224D8C" w:rsidRPr="0070312F" w:rsidRDefault="00224D8C" w:rsidP="00224D8C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Planowany termin oddania</w:t>
      </w:r>
      <w:r w:rsidR="0043225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czwartego etapu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osiedla </w:t>
      </w:r>
      <w:r w:rsidR="0043225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Nowe Miasto Jagodno to III kw. 202</w:t>
      </w:r>
      <w:r w:rsidR="0043225F"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2 roku. </w:t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Za </w:t>
      </w:r>
      <w:r w:rsidR="0070312F"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kompleksową obsługę projektową inwestycji obejmującą wszystkie etapy związane z realizacją obiektu odpowiada dział projektowy ATAL</w:t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3976C323" w14:textId="3A76FBB1" w:rsidR="00224D8C" w:rsidRPr="0070312F" w:rsidRDefault="00224D8C" w:rsidP="00224D8C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70312F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7" w:history="1">
        <w:r w:rsidR="00640327" w:rsidRPr="0070312F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640327" w:rsidRPr="0070312F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nowemiastojagodno.pl</w:t>
        </w:r>
      </w:hyperlink>
    </w:p>
    <w:p w14:paraId="1C28E5F7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</w:p>
    <w:p w14:paraId="680AFCCF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F11E42" wp14:editId="462279E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34A5F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891875D" w14:textId="77777777" w:rsidR="00224D8C" w:rsidRPr="004009C7" w:rsidRDefault="00224D8C" w:rsidP="00224D8C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5202BF6B" w14:textId="77777777" w:rsidR="00224D8C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AC82E4" wp14:editId="7C264016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E586B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4E765465" w14:textId="77777777" w:rsidR="00224D8C" w:rsidRPr="00BB7A50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C908F71" w14:textId="77777777" w:rsidR="00224D8C" w:rsidRPr="004009C7" w:rsidRDefault="00224D8C" w:rsidP="00224D8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40DBB958" w14:textId="77777777" w:rsidR="00224D8C" w:rsidRPr="004009C7" w:rsidRDefault="00224D8C" w:rsidP="00224D8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037B998B" w14:textId="058E356E" w:rsidR="007726E8" w:rsidRPr="005356A2" w:rsidRDefault="00224D8C" w:rsidP="005356A2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lastRenderedPageBreak/>
        <w:t>PR</w:t>
      </w:r>
      <w:r w:rsidR="005356A2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sectPr w:rsidR="007726E8" w:rsidRPr="005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8E1F" w14:textId="77777777" w:rsidR="00702D4F" w:rsidRDefault="00702D4F" w:rsidP="000E09F6">
      <w:pPr>
        <w:spacing w:after="0" w:line="240" w:lineRule="auto"/>
      </w:pPr>
      <w:r>
        <w:separator/>
      </w:r>
    </w:p>
  </w:endnote>
  <w:endnote w:type="continuationSeparator" w:id="0">
    <w:p w14:paraId="0A3B5716" w14:textId="77777777" w:rsidR="00702D4F" w:rsidRDefault="00702D4F" w:rsidP="000E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8250" w14:textId="77777777" w:rsidR="00702D4F" w:rsidRDefault="00702D4F" w:rsidP="000E09F6">
      <w:pPr>
        <w:spacing w:after="0" w:line="240" w:lineRule="auto"/>
      </w:pPr>
      <w:r>
        <w:separator/>
      </w:r>
    </w:p>
  </w:footnote>
  <w:footnote w:type="continuationSeparator" w:id="0">
    <w:p w14:paraId="3C04BD0F" w14:textId="77777777" w:rsidR="00702D4F" w:rsidRDefault="00702D4F" w:rsidP="000E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C"/>
    <w:rsid w:val="000C5C23"/>
    <w:rsid w:val="000E09F6"/>
    <w:rsid w:val="00184F8C"/>
    <w:rsid w:val="00224D8C"/>
    <w:rsid w:val="0035284F"/>
    <w:rsid w:val="003616E4"/>
    <w:rsid w:val="0043225F"/>
    <w:rsid w:val="004869B2"/>
    <w:rsid w:val="004A3462"/>
    <w:rsid w:val="004C0D2D"/>
    <w:rsid w:val="004C6992"/>
    <w:rsid w:val="004F2752"/>
    <w:rsid w:val="005356A2"/>
    <w:rsid w:val="00536C7A"/>
    <w:rsid w:val="00544337"/>
    <w:rsid w:val="005500E2"/>
    <w:rsid w:val="0059621E"/>
    <w:rsid w:val="005E6862"/>
    <w:rsid w:val="00640327"/>
    <w:rsid w:val="006F2D8A"/>
    <w:rsid w:val="00702D4F"/>
    <w:rsid w:val="0070312F"/>
    <w:rsid w:val="007726E8"/>
    <w:rsid w:val="0079486B"/>
    <w:rsid w:val="007C107E"/>
    <w:rsid w:val="00836CDA"/>
    <w:rsid w:val="00847ACF"/>
    <w:rsid w:val="008812BC"/>
    <w:rsid w:val="008E5C38"/>
    <w:rsid w:val="00902304"/>
    <w:rsid w:val="00933C0F"/>
    <w:rsid w:val="00971B51"/>
    <w:rsid w:val="009A4EAC"/>
    <w:rsid w:val="00A46894"/>
    <w:rsid w:val="00A60E36"/>
    <w:rsid w:val="00AF06DE"/>
    <w:rsid w:val="00B46405"/>
    <w:rsid w:val="00B7635E"/>
    <w:rsid w:val="00B83923"/>
    <w:rsid w:val="00BD1E36"/>
    <w:rsid w:val="00BD7901"/>
    <w:rsid w:val="00BE2B84"/>
    <w:rsid w:val="00C116B9"/>
    <w:rsid w:val="00CB58FD"/>
    <w:rsid w:val="00CF0F8B"/>
    <w:rsid w:val="00D07854"/>
    <w:rsid w:val="00D57279"/>
    <w:rsid w:val="00D773FF"/>
    <w:rsid w:val="00DC46FE"/>
    <w:rsid w:val="00DF7668"/>
    <w:rsid w:val="00ED11DA"/>
    <w:rsid w:val="00EE4BC6"/>
    <w:rsid w:val="00EF7149"/>
    <w:rsid w:val="00F328D2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DD22"/>
  <w15:chartTrackingRefBased/>
  <w15:docId w15:val="{12208C9A-3930-4F88-93B9-87CE90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8C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D8C"/>
    <w:rPr>
      <w:color w:val="000080"/>
      <w:u w:val="single"/>
    </w:rPr>
  </w:style>
  <w:style w:type="paragraph" w:styleId="Bezodstpw">
    <w:name w:val="No Spacing"/>
    <w:uiPriority w:val="1"/>
    <w:qFormat/>
    <w:rsid w:val="00224D8C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3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9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9F6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wemiastojagod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44</cp:revision>
  <dcterms:created xsi:type="dcterms:W3CDTF">2021-05-11T12:44:00Z</dcterms:created>
  <dcterms:modified xsi:type="dcterms:W3CDTF">2021-05-24T07:05:00Z</dcterms:modified>
</cp:coreProperties>
</file>