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D5F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5CF90B" wp14:editId="41CAE2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24FFB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3F825D8A" w:rsidR="00FE0F75" w:rsidRDefault="00A2037F" w:rsidP="00A2037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B63C8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 kwietnia</w:t>
      </w:r>
      <w:r w:rsidR="007548B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1E139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22E9EE35" w14:textId="24A03C5E" w:rsidR="00FE0F75" w:rsidRDefault="001E139A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ATAL – </w:t>
      </w:r>
      <w:r w:rsidR="00B63C88">
        <w:rPr>
          <w:rFonts w:ascii="Calibri" w:eastAsia="Calibri" w:hAnsi="Calibri" w:cs="Calibri"/>
          <w:b/>
          <w:bCs/>
          <w:sz w:val="48"/>
          <w:szCs w:val="48"/>
        </w:rPr>
        <w:t>kontraktacja w I kwartale 2022 roku</w:t>
      </w:r>
    </w:p>
    <w:p w14:paraId="004DF3F9" w14:textId="770201AA" w:rsidR="00DA05CD" w:rsidRDefault="009E348F" w:rsidP="009E348F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 – ogólnopolski deweloper – </w:t>
      </w:r>
      <w:r w:rsidR="00DA05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pierwszym kwartale 2022 roku zakontraktował </w:t>
      </w:r>
      <w:r w:rsidR="00F43988" w:rsidRPr="006F6BA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754</w:t>
      </w:r>
      <w:r w:rsidR="00DA05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lokal</w:t>
      </w:r>
      <w:r w:rsidR="00F4398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</w:t>
      </w:r>
      <w:r w:rsidR="00DA05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W styczniu podpisano </w:t>
      </w:r>
      <w:r w:rsidR="00C75815" w:rsidRPr="006F6BA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26</w:t>
      </w:r>
      <w:r w:rsidR="00F4398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7</w:t>
      </w:r>
      <w:r w:rsidR="00DA05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umów deweloperskich i przed</w:t>
      </w:r>
      <w:r w:rsidR="00F4398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</w:t>
      </w:r>
      <w:r w:rsidR="00DA05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stępnych, w lutym </w:t>
      </w:r>
      <w:r w:rsidR="00C75815" w:rsidRPr="006F6BA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226</w:t>
      </w:r>
      <w:r w:rsidR="00DA05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natomiast w marcu było to </w:t>
      </w:r>
      <w:r w:rsidR="00F43988" w:rsidRPr="006F6BA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261</w:t>
      </w:r>
      <w:r w:rsidR="00DA05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</w:p>
    <w:p w14:paraId="79B5EC6B" w14:textId="71509625" w:rsidR="001E139A" w:rsidRDefault="001E139A" w:rsidP="001E139A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Tegoroczny potencjał sprzedaży (umowy deweloperskie i przedwstępne) Grupa </w:t>
      </w:r>
      <w:r w:rsidR="00DA05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obecnie</w:t>
      </w:r>
      <w:r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szacuje na </w:t>
      </w:r>
      <w:r w:rsidR="00216048"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3</w:t>
      </w:r>
      <w:r w:rsidR="008E030B"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 </w:t>
      </w:r>
      <w:r w:rsidR="00216048"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000</w:t>
      </w:r>
      <w:r w:rsidR="008E030B"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216048"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-</w:t>
      </w:r>
      <w:r w:rsidR="008E030B"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216048"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3 500 </w:t>
      </w:r>
      <w:r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lokali. Potencjał przekazań natomiast na</w:t>
      </w:r>
      <w:r w:rsidR="008E030B"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ok</w:t>
      </w:r>
      <w:r w:rsidR="00DA05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8E030B"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3 5</w:t>
      </w:r>
      <w:r w:rsidR="00D10309"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00</w:t>
      </w:r>
      <w:r w:rsidR="008E030B"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Pr="000E7A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lokali.</w:t>
      </w:r>
    </w:p>
    <w:p w14:paraId="5D6EB7D0" w14:textId="7EC3DE98" w:rsidR="003E156A" w:rsidRDefault="009E348F" w:rsidP="003E156A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A6C78B" wp14:editId="3B3F566B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461645" cy="295910"/>
                <wp:effectExtent l="0" t="0" r="0" b="8890"/>
                <wp:wrapNone/>
                <wp:docPr id="1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" name="Strzałka: pagon 2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Strzałka: pagon 4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FF074" id="Grupa 36" o:spid="_x0000_s1026" style="position:absolute;margin-left:0;margin-top:4.35pt;width:36.35pt;height:23.3pt;z-index:251667456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2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T5vwAAANo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" adj="10800" fillcolor="#ed202f" stroked="f" strokeweight="1pt"/>
                <v:shape id="Strzałka: pagon 4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" adj="10800" fillcolor="#ed202f" stroked="f" strokeweight="1pt"/>
                <w10:wrap anchorx="margin"/>
              </v:group>
            </w:pict>
          </mc:Fallback>
        </mc:AlternateContent>
      </w:r>
    </w:p>
    <w:p w14:paraId="42D032DC" w14:textId="77777777" w:rsidR="009E348F" w:rsidRDefault="009E348F" w:rsidP="003E156A">
      <w:pPr>
        <w:spacing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</w:p>
    <w:p w14:paraId="7601625C" w14:textId="27590B7D" w:rsidR="00DA05CD" w:rsidRPr="006B3105" w:rsidRDefault="00DA05CD" w:rsidP="006B3105">
      <w:pPr>
        <w:spacing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Tegoroczne, niższe niż przed rokiem</w:t>
      </w:r>
      <w:r w:rsidR="00C7581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,</w:t>
      </w:r>
      <w:r w:rsidRP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plany kontraktacji wynikają z ostrożności. W obecnej sytuacji szacujemy osiągnięcie </w:t>
      </w:r>
      <w:r w:rsidR="006B3105" w:rsidRP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ok. 75%</w:t>
      </w:r>
      <w:r w:rsidRP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tego, na co liczylibyśmy w normalnych </w:t>
      </w:r>
      <w:r w:rsid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okolicznościach</w:t>
      </w:r>
      <w:r w:rsidRP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. </w:t>
      </w:r>
      <w:r w:rsid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Jest t</w:t>
      </w:r>
      <w:r w:rsidRP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o bardzo </w:t>
      </w:r>
      <w:r w:rsidR="007625B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konserwatywny</w:t>
      </w:r>
      <w:r w:rsidRP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szacunek</w:t>
      </w:r>
      <w:r w:rsidR="006B3105" w:rsidRP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.</w:t>
      </w:r>
      <w:r w:rsidRP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W tej kalkulacji uwzględniamy spowolnienie decyzji po stronie kupujących spowodowane niepewnością. </w:t>
      </w:r>
      <w:r w:rsid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Klienci oraz</w:t>
      </w:r>
      <w:r w:rsidRP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banki muszą znaleźć złoty środek, jak finansować się w okresie przejściowym, kiedy pieniądz jest</w:t>
      </w:r>
      <w:r w:rsid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P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droższy</w:t>
      </w:r>
      <w:r w:rsid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. Nie należy spodziewać się jednak</w:t>
      </w:r>
      <w:r w:rsidRP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gwałtownego odejścia klientów od zakupów</w:t>
      </w:r>
      <w:r w:rsidR="006B310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nieruchomości</w:t>
      </w:r>
      <w:r w:rsidR="00C7581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. Uważamy, że wciąż w Polsce mamy strukturalny niedobór mieszkań, który stymuluje rynek</w:t>
      </w:r>
    </w:p>
    <w:p w14:paraId="26FD28C7" w14:textId="01ABBDEC" w:rsidR="003E156A" w:rsidRDefault="00AB191F" w:rsidP="003E156A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– </w:t>
      </w:r>
      <w:r w:rsidR="003E156A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mówi</w:t>
      </w:r>
      <w:r w:rsidR="003E156A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="009E348F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z</w:t>
      </w:r>
      <w:r w:rsidR="003E156A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arządu ATAL S</w:t>
      </w:r>
      <w:r w:rsidR="009E348F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A.</w:t>
      </w:r>
      <w:r w:rsidR="003E156A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1265DB7A" w14:textId="40E156F1" w:rsidR="003E156A" w:rsidRPr="000F7104" w:rsidRDefault="00D1422C" w:rsidP="003E156A">
      <w:pPr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D1422C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27EA586" wp14:editId="7FCDFD8C">
                <wp:simplePos x="0" y="0"/>
                <wp:positionH relativeFrom="margin">
                  <wp:posOffset>5260975</wp:posOffset>
                </wp:positionH>
                <wp:positionV relativeFrom="paragraph">
                  <wp:posOffset>212725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4" name="Strzałka: pagon 14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Strzałka: pagon 15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6F7AB" id="Grupa 16" o:spid="_x0000_s1026" style="position:absolute;margin-left:414.25pt;margin-top:16.75pt;width:36.35pt;height:23.3pt;z-index:251665408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4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" adj="10800" fillcolor="#ed202f" stroked="f" strokeweight="1pt"/>
                <v:shape id="Strzałka: pagon 15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" adj="10800" fillcolor="#ed202f" stroked="f" strokeweight="1pt"/>
                <w10:wrap type="through" anchorx="margin"/>
              </v:group>
            </w:pict>
          </mc:Fallback>
        </mc:AlternateContent>
      </w:r>
    </w:p>
    <w:p w14:paraId="37E8CFC7" w14:textId="77777777" w:rsidR="00D1422C" w:rsidRDefault="00D1422C" w:rsidP="00174736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</w:p>
    <w:p w14:paraId="4FA04D1B" w14:textId="77777777" w:rsidR="00DA05CD" w:rsidRPr="00DA05CD" w:rsidRDefault="00DA05CD" w:rsidP="00DA05CD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DA05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2021 roku ATAL wygenerował skonsolidowane przychody na poziomie 1 679,2 mln zł. Oznacza to wzrost o ok. 44% </w:t>
      </w:r>
      <w:proofErr w:type="spellStart"/>
      <w:r w:rsidRPr="00DA05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rdr</w:t>
      </w:r>
      <w:proofErr w:type="spellEnd"/>
      <w:r w:rsidRPr="00DA05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W 2021 roku wynik netto przypisany akcjonariuszom jednostki dominującej wyniósł 331,2 mln zł, gdy przed rokiem było to 167,4 mln zł, czyli o prawie 98% więcej </w:t>
      </w:r>
      <w:proofErr w:type="spellStart"/>
      <w:r w:rsidRPr="00DA05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rdr</w:t>
      </w:r>
      <w:proofErr w:type="spellEnd"/>
      <w:r w:rsidRPr="00DA05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Marża brutto ze sprzedaży w 2021 roku wyniosła 27,0%, a marża netto zaś 19,7%. </w:t>
      </w:r>
    </w:p>
    <w:p w14:paraId="626C102D" w14:textId="53BAEBD6" w:rsidR="00D63B7E" w:rsidRPr="001C4E15" w:rsidRDefault="00D63B7E" w:rsidP="00D63B7E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D63B7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ATAL w 2021 roku zakontraktował 4258 lokali – co stanowi najlepszy wynik w historii spółki, wzrost rok do roku wyniósł ponad 47%. Grupa posiadała na koniec 2021 roku 710 aktywnych umów rezerwacyjnych, przed rokiem było to 507. Łączna liczba umów deweloperskich, przedwstępnych i rezerwacyjnych wyniosła blisko 5 tys. na koniec 2021 roku</w:t>
      </w:r>
      <w:r w:rsidR="00DA05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667562D0" w14:textId="62330B4C" w:rsidR="00C36ED7" w:rsidRPr="00692E00" w:rsidRDefault="00F1499B" w:rsidP="00692E00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D63B7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Spółka </w:t>
      </w:r>
      <w:r w:rsidR="00D63B7E" w:rsidRPr="00D63B7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</w:t>
      </w:r>
      <w:r w:rsidRPr="00D63B7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2021 roku </w:t>
      </w:r>
      <w:r w:rsidR="00D63B7E" w:rsidRPr="00D63B7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przekazała 3700 lokali – co stanowi najlepszy wynik w historii Grupy, wzrost rok do roku wyniósł ponad 23%.</w:t>
      </w:r>
      <w:r w:rsidR="00692E0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</w:p>
    <w:p w14:paraId="033ACF1D" w14:textId="4399D775" w:rsidR="0007306F" w:rsidRPr="004D5B73" w:rsidRDefault="0007306F" w:rsidP="0007306F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39A2">
        <w:rPr>
          <w:rFonts w:asciiTheme="majorHAnsi" w:hAnsiTheme="majorHAnsi" w:cstheme="majorHAnsi"/>
          <w:sz w:val="22"/>
          <w:szCs w:val="22"/>
        </w:rPr>
        <w:t>ATAL jest spółką dywidendową. W 2016 roku została wypłacona dywidenda w wysokości 0,61 zł na akcję, co łącznie dało kwotę 23,</w:t>
      </w:r>
      <w:r>
        <w:rPr>
          <w:rFonts w:asciiTheme="majorHAnsi" w:hAnsiTheme="majorHAnsi" w:cstheme="majorHAnsi"/>
          <w:sz w:val="22"/>
          <w:szCs w:val="22"/>
        </w:rPr>
        <w:t>7</w:t>
      </w:r>
      <w:r w:rsidRPr="002239A2">
        <w:rPr>
          <w:rFonts w:asciiTheme="majorHAnsi" w:hAnsiTheme="majorHAnsi" w:cstheme="majorHAnsi"/>
          <w:sz w:val="22"/>
          <w:szCs w:val="22"/>
        </w:rPr>
        <w:t xml:space="preserve"> mln zł. Dywidenda wyniosła wówczas </w:t>
      </w:r>
      <w:r>
        <w:rPr>
          <w:rFonts w:asciiTheme="majorHAnsi" w:hAnsiTheme="majorHAnsi" w:cstheme="majorHAnsi"/>
          <w:sz w:val="22"/>
          <w:szCs w:val="22"/>
        </w:rPr>
        <w:t xml:space="preserve">ok. </w:t>
      </w:r>
      <w:r w:rsidR="003B489F" w:rsidRPr="00B43BA4">
        <w:rPr>
          <w:rFonts w:asciiTheme="majorHAnsi" w:hAnsiTheme="majorHAnsi" w:cstheme="majorHAnsi"/>
          <w:sz w:val="22"/>
          <w:szCs w:val="22"/>
        </w:rPr>
        <w:t>48%</w:t>
      </w:r>
      <w:r w:rsidRPr="002239A2">
        <w:rPr>
          <w:rFonts w:asciiTheme="majorHAnsi" w:hAnsiTheme="majorHAnsi" w:cstheme="majorHAnsi"/>
          <w:sz w:val="22"/>
          <w:szCs w:val="22"/>
        </w:rPr>
        <w:t xml:space="preserve"> zysku netto </w:t>
      </w:r>
      <w:r w:rsidRPr="00C27126">
        <w:rPr>
          <w:rFonts w:asciiTheme="majorHAnsi" w:hAnsiTheme="majorHAnsi" w:cstheme="majorHAnsi"/>
          <w:sz w:val="22"/>
          <w:szCs w:val="22"/>
        </w:rPr>
        <w:t>jednostki dominującej</w:t>
      </w:r>
      <w:r w:rsidRPr="002239A2">
        <w:rPr>
          <w:rFonts w:asciiTheme="majorHAnsi" w:hAnsiTheme="majorHAnsi" w:cstheme="majorHAnsi"/>
          <w:sz w:val="22"/>
          <w:szCs w:val="22"/>
        </w:rPr>
        <w:t xml:space="preserve"> z 2015 roku. W 2017 roku ATAL wypłacił akcjonariuszom 1,68 zł na akcję, czyli ok. 65 mln zł – co stanowiło </w:t>
      </w:r>
      <w:r>
        <w:rPr>
          <w:rFonts w:asciiTheme="majorHAnsi" w:hAnsiTheme="majorHAnsi" w:cstheme="majorHAnsi"/>
          <w:sz w:val="22"/>
          <w:szCs w:val="22"/>
        </w:rPr>
        <w:t>ok. 55</w:t>
      </w:r>
      <w:r w:rsidRPr="002239A2">
        <w:rPr>
          <w:rFonts w:asciiTheme="majorHAnsi" w:hAnsiTheme="majorHAnsi" w:cstheme="majorHAnsi"/>
          <w:sz w:val="22"/>
          <w:szCs w:val="22"/>
        </w:rPr>
        <w:t>% zysku netto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27126">
        <w:rPr>
          <w:rFonts w:asciiTheme="majorHAnsi" w:hAnsiTheme="majorHAnsi" w:cstheme="majorHAnsi"/>
          <w:sz w:val="22"/>
          <w:szCs w:val="22"/>
        </w:rPr>
        <w:t>jednostki dominującej</w:t>
      </w:r>
      <w:r w:rsidRPr="002239A2">
        <w:rPr>
          <w:rFonts w:asciiTheme="majorHAnsi" w:hAnsiTheme="majorHAnsi" w:cstheme="majorHAnsi"/>
          <w:sz w:val="22"/>
          <w:szCs w:val="22"/>
        </w:rPr>
        <w:t xml:space="preserve"> z 2016 roku. W 2018 roku spółka wypłaciła akcjonariuszom 137 mln zł (3,54 zł na akcję), czyli </w:t>
      </w:r>
      <w:r w:rsidR="003B489F" w:rsidRPr="00B43BA4">
        <w:rPr>
          <w:rFonts w:asciiTheme="majorHAnsi" w:hAnsiTheme="majorHAnsi" w:cstheme="majorHAnsi"/>
          <w:sz w:val="22"/>
          <w:szCs w:val="22"/>
        </w:rPr>
        <w:t>prawie  84%</w:t>
      </w:r>
      <w:r w:rsidR="003B489F">
        <w:rPr>
          <w:rFonts w:asciiTheme="majorHAnsi" w:hAnsiTheme="majorHAnsi" w:cstheme="majorHAnsi"/>
          <w:sz w:val="22"/>
          <w:szCs w:val="22"/>
        </w:rPr>
        <w:t xml:space="preserve"> </w:t>
      </w:r>
      <w:r w:rsidRPr="002239A2">
        <w:rPr>
          <w:rFonts w:asciiTheme="majorHAnsi" w:hAnsiTheme="majorHAnsi" w:cstheme="majorHAnsi"/>
          <w:sz w:val="22"/>
          <w:szCs w:val="22"/>
        </w:rPr>
        <w:t>zysku jednostki dominującej z 2017 roku.</w:t>
      </w:r>
      <w:r>
        <w:rPr>
          <w:rFonts w:asciiTheme="majorHAnsi" w:hAnsiTheme="majorHAnsi" w:cstheme="majorHAnsi"/>
          <w:sz w:val="22"/>
          <w:szCs w:val="22"/>
        </w:rPr>
        <w:t xml:space="preserve"> W 2019 roku spółka wypłaciła rekordową dywidendę w wysokości ok. 182 mln zł (4,70zł na akcję), co </w:t>
      </w:r>
      <w:r>
        <w:rPr>
          <w:rFonts w:asciiTheme="majorHAnsi" w:hAnsiTheme="majorHAnsi" w:cstheme="majorHAnsi"/>
          <w:sz w:val="22"/>
          <w:szCs w:val="22"/>
        </w:rPr>
        <w:lastRenderedPageBreak/>
        <w:t xml:space="preserve">stanowiło 100% </w:t>
      </w:r>
      <w:r w:rsidRPr="002239A2">
        <w:rPr>
          <w:rFonts w:asciiTheme="majorHAnsi" w:hAnsiTheme="majorHAnsi" w:cstheme="majorHAnsi"/>
          <w:sz w:val="22"/>
          <w:szCs w:val="22"/>
        </w:rPr>
        <w:t>zysku jednostki dominującej z 201</w:t>
      </w:r>
      <w:r>
        <w:rPr>
          <w:rFonts w:asciiTheme="majorHAnsi" w:hAnsiTheme="majorHAnsi" w:cstheme="majorHAnsi"/>
          <w:sz w:val="22"/>
          <w:szCs w:val="22"/>
        </w:rPr>
        <w:t>8</w:t>
      </w:r>
      <w:r w:rsidRPr="002239A2">
        <w:rPr>
          <w:rFonts w:asciiTheme="majorHAnsi" w:hAnsiTheme="majorHAnsi" w:cstheme="majorHAnsi"/>
          <w:sz w:val="22"/>
          <w:szCs w:val="22"/>
        </w:rPr>
        <w:t xml:space="preserve"> roku</w:t>
      </w:r>
      <w:r>
        <w:rPr>
          <w:rFonts w:asciiTheme="majorHAnsi" w:hAnsiTheme="majorHAnsi" w:cstheme="majorHAnsi"/>
          <w:sz w:val="22"/>
          <w:szCs w:val="22"/>
        </w:rPr>
        <w:t xml:space="preserve">. W </w:t>
      </w:r>
      <w:r w:rsidR="009F1ED2">
        <w:rPr>
          <w:rFonts w:asciiTheme="majorHAnsi" w:hAnsiTheme="majorHAnsi" w:cstheme="majorHAnsi"/>
          <w:sz w:val="22"/>
          <w:szCs w:val="22"/>
        </w:rPr>
        <w:t>2020</w:t>
      </w:r>
      <w:r>
        <w:rPr>
          <w:rFonts w:asciiTheme="majorHAnsi" w:hAnsiTheme="majorHAnsi" w:cstheme="majorHAnsi"/>
          <w:sz w:val="22"/>
          <w:szCs w:val="22"/>
        </w:rPr>
        <w:t xml:space="preserve"> roku jednorazowo zmieniono politykę dywidendy ze względu na sytuację związaną z pandemią </w:t>
      </w:r>
      <w:proofErr w:type="spellStart"/>
      <w:r>
        <w:rPr>
          <w:rFonts w:asciiTheme="majorHAnsi" w:hAnsiTheme="majorHAnsi" w:cstheme="majorHAnsi"/>
          <w:sz w:val="22"/>
          <w:szCs w:val="22"/>
        </w:rPr>
        <w:t>koronawirusa</w:t>
      </w:r>
      <w:proofErr w:type="spellEnd"/>
      <w:r w:rsidR="009F1ED2">
        <w:rPr>
          <w:rFonts w:asciiTheme="majorHAnsi" w:hAnsiTheme="majorHAnsi" w:cstheme="majorHAnsi"/>
          <w:sz w:val="22"/>
          <w:szCs w:val="22"/>
        </w:rPr>
        <w:t>, zasilając kapitał zakładowy wypracowanym zyskiem</w:t>
      </w:r>
      <w:r>
        <w:rPr>
          <w:rFonts w:asciiTheme="majorHAnsi" w:hAnsiTheme="majorHAnsi" w:cstheme="majorHAnsi"/>
          <w:sz w:val="22"/>
          <w:szCs w:val="22"/>
        </w:rPr>
        <w:t>.</w:t>
      </w:r>
      <w:r w:rsidR="009F1ED2">
        <w:rPr>
          <w:rFonts w:asciiTheme="majorHAnsi" w:hAnsiTheme="majorHAnsi" w:cstheme="majorHAnsi"/>
          <w:sz w:val="22"/>
          <w:szCs w:val="22"/>
        </w:rPr>
        <w:t xml:space="preserve"> </w:t>
      </w:r>
      <w:r w:rsidR="009F1ED2" w:rsidRPr="00B43BA4">
        <w:rPr>
          <w:rFonts w:asciiTheme="majorHAnsi" w:hAnsiTheme="majorHAnsi" w:cstheme="majorHAnsi"/>
          <w:sz w:val="22"/>
          <w:szCs w:val="22"/>
        </w:rPr>
        <w:t xml:space="preserve">W </w:t>
      </w:r>
      <w:r w:rsidR="009F1ED2">
        <w:rPr>
          <w:rFonts w:asciiTheme="majorHAnsi" w:hAnsiTheme="majorHAnsi" w:cstheme="majorHAnsi"/>
          <w:sz w:val="22"/>
          <w:szCs w:val="22"/>
        </w:rPr>
        <w:t>2021 roku spółka</w:t>
      </w:r>
      <w:r w:rsidR="009F1ED2" w:rsidRPr="00B43BA4">
        <w:rPr>
          <w:rFonts w:asciiTheme="majorHAnsi" w:hAnsiTheme="majorHAnsi" w:cstheme="majorHAnsi"/>
          <w:sz w:val="22"/>
          <w:szCs w:val="22"/>
        </w:rPr>
        <w:t xml:space="preserve"> wypłaciła dywidendę w wysokości 80% zysku netto jednostki dominującej</w:t>
      </w:r>
      <w:r w:rsidR="009F1ED2">
        <w:rPr>
          <w:rFonts w:asciiTheme="majorHAnsi" w:hAnsiTheme="majorHAnsi" w:cstheme="majorHAnsi"/>
          <w:sz w:val="22"/>
          <w:szCs w:val="22"/>
        </w:rPr>
        <w:t xml:space="preserve"> z 2020 roku</w:t>
      </w:r>
      <w:r w:rsidR="009F1ED2" w:rsidRPr="00B43BA4">
        <w:rPr>
          <w:rFonts w:asciiTheme="majorHAnsi" w:hAnsiTheme="majorHAnsi" w:cstheme="majorHAnsi"/>
          <w:sz w:val="22"/>
          <w:szCs w:val="22"/>
        </w:rPr>
        <w:t>. Oznacza to, że do akcjonariuszy trafiło 117,3 mln złotych, czyli 3,03 zł na akcję. Pozostała część wypracowanego zysku – 28,4 mln zł – zasiliła kapitał zapasowy.</w:t>
      </w:r>
    </w:p>
    <w:p w14:paraId="09FD4DB8" w14:textId="5129F09D" w:rsidR="00D63B7E" w:rsidRDefault="00D63B7E" w:rsidP="00D63B7E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 </w:t>
      </w:r>
      <w:r w:rsidRPr="00254108">
        <w:rPr>
          <w:rFonts w:asciiTheme="majorHAnsi" w:hAnsiTheme="majorHAnsi" w:cstheme="majorHAnsi"/>
          <w:sz w:val="22"/>
          <w:szCs w:val="22"/>
        </w:rPr>
        <w:t>202</w:t>
      </w:r>
      <w:r>
        <w:rPr>
          <w:rFonts w:asciiTheme="majorHAnsi" w:hAnsiTheme="majorHAnsi" w:cstheme="majorHAnsi"/>
          <w:sz w:val="22"/>
          <w:szCs w:val="22"/>
        </w:rPr>
        <w:t>1</w:t>
      </w:r>
      <w:r w:rsidRPr="00254108">
        <w:rPr>
          <w:rFonts w:asciiTheme="majorHAnsi" w:hAnsiTheme="majorHAnsi" w:cstheme="majorHAnsi"/>
          <w:sz w:val="22"/>
          <w:szCs w:val="22"/>
        </w:rPr>
        <w:t xml:space="preserve"> roku ATAL pozyskał</w:t>
      </w:r>
      <w:r w:rsidRPr="00A25007">
        <w:rPr>
          <w:rFonts w:asciiTheme="majorHAnsi" w:hAnsiTheme="majorHAnsi" w:cstheme="majorHAnsi"/>
          <w:sz w:val="22"/>
          <w:szCs w:val="22"/>
        </w:rPr>
        <w:t xml:space="preserve"> </w:t>
      </w:r>
      <w:r w:rsidR="008E54EF">
        <w:rPr>
          <w:rFonts w:asciiTheme="majorHAnsi" w:hAnsiTheme="majorHAnsi" w:cstheme="majorHAnsi"/>
          <w:sz w:val="22"/>
          <w:szCs w:val="22"/>
        </w:rPr>
        <w:t xml:space="preserve"> </w:t>
      </w:r>
      <w:r w:rsidR="008E54EF" w:rsidRPr="00091D01">
        <w:rPr>
          <w:rFonts w:asciiTheme="majorHAnsi" w:hAnsiTheme="majorHAnsi" w:cstheme="majorHAnsi"/>
          <w:sz w:val="22"/>
          <w:szCs w:val="22"/>
        </w:rPr>
        <w:t>11</w:t>
      </w:r>
      <w:r w:rsidR="008E54EF">
        <w:rPr>
          <w:rFonts w:asciiTheme="majorHAnsi" w:hAnsiTheme="majorHAnsi" w:cstheme="majorHAnsi"/>
          <w:sz w:val="22"/>
          <w:szCs w:val="22"/>
        </w:rPr>
        <w:t xml:space="preserve"> </w:t>
      </w:r>
      <w:r w:rsidRPr="00A25007">
        <w:rPr>
          <w:rFonts w:asciiTheme="majorHAnsi" w:hAnsiTheme="majorHAnsi" w:cstheme="majorHAnsi"/>
          <w:sz w:val="22"/>
          <w:szCs w:val="22"/>
        </w:rPr>
        <w:t>now</w:t>
      </w:r>
      <w:r>
        <w:rPr>
          <w:rFonts w:asciiTheme="majorHAnsi" w:hAnsiTheme="majorHAnsi" w:cstheme="majorHAnsi"/>
          <w:sz w:val="22"/>
          <w:szCs w:val="22"/>
        </w:rPr>
        <w:t>ych</w:t>
      </w:r>
      <w:r w:rsidRPr="00A25007">
        <w:rPr>
          <w:rFonts w:asciiTheme="majorHAnsi" w:hAnsiTheme="majorHAnsi" w:cstheme="majorHAnsi"/>
          <w:sz w:val="22"/>
          <w:szCs w:val="22"/>
        </w:rPr>
        <w:t xml:space="preserve"> grunt</w:t>
      </w:r>
      <w:r>
        <w:rPr>
          <w:rFonts w:asciiTheme="majorHAnsi" w:hAnsiTheme="majorHAnsi" w:cstheme="majorHAnsi"/>
          <w:sz w:val="22"/>
          <w:szCs w:val="22"/>
        </w:rPr>
        <w:t>ów</w:t>
      </w:r>
      <w:r w:rsidRPr="00A25007">
        <w:rPr>
          <w:rFonts w:asciiTheme="majorHAnsi" w:hAnsiTheme="majorHAnsi" w:cstheme="majorHAnsi"/>
          <w:sz w:val="22"/>
          <w:szCs w:val="22"/>
        </w:rPr>
        <w:t xml:space="preserve"> inwestycyjn</w:t>
      </w:r>
      <w:r w:rsidR="00091D01">
        <w:rPr>
          <w:rFonts w:asciiTheme="majorHAnsi" w:hAnsiTheme="majorHAnsi" w:cstheme="majorHAnsi"/>
          <w:sz w:val="22"/>
          <w:szCs w:val="22"/>
        </w:rPr>
        <w:t>ych</w:t>
      </w:r>
      <w:r w:rsidRPr="00A25007">
        <w:rPr>
          <w:rFonts w:asciiTheme="majorHAnsi" w:hAnsiTheme="majorHAnsi" w:cstheme="majorHAnsi"/>
          <w:sz w:val="22"/>
          <w:szCs w:val="22"/>
        </w:rPr>
        <w:t xml:space="preserve"> w Katowicach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A25007">
        <w:rPr>
          <w:rFonts w:asciiTheme="majorHAnsi" w:hAnsiTheme="majorHAnsi" w:cstheme="majorHAnsi"/>
          <w:sz w:val="22"/>
          <w:szCs w:val="22"/>
        </w:rPr>
        <w:t>Poznaniu</w:t>
      </w:r>
      <w:r>
        <w:rPr>
          <w:rFonts w:asciiTheme="majorHAnsi" w:hAnsiTheme="majorHAnsi" w:cstheme="majorHAnsi"/>
          <w:sz w:val="22"/>
          <w:szCs w:val="22"/>
        </w:rPr>
        <w:t>, Krakowie</w:t>
      </w:r>
      <w:r w:rsidR="00306411">
        <w:rPr>
          <w:rFonts w:asciiTheme="majorHAnsi" w:hAnsiTheme="majorHAnsi" w:cstheme="majorHAnsi"/>
          <w:sz w:val="22"/>
          <w:szCs w:val="22"/>
        </w:rPr>
        <w:t xml:space="preserve">, </w:t>
      </w:r>
      <w:r w:rsidR="00306411" w:rsidRPr="00091D01">
        <w:rPr>
          <w:rFonts w:asciiTheme="majorHAnsi" w:hAnsiTheme="majorHAnsi" w:cstheme="majorHAnsi"/>
          <w:sz w:val="22"/>
          <w:szCs w:val="22"/>
        </w:rPr>
        <w:t>Piotrkowie Trybunalskim</w:t>
      </w:r>
      <w:r>
        <w:rPr>
          <w:rFonts w:asciiTheme="majorHAnsi" w:hAnsiTheme="majorHAnsi" w:cstheme="majorHAnsi"/>
          <w:sz w:val="22"/>
          <w:szCs w:val="22"/>
        </w:rPr>
        <w:t xml:space="preserve"> oraz Warszawie</w:t>
      </w:r>
      <w:r w:rsidRPr="00A25007">
        <w:rPr>
          <w:rFonts w:asciiTheme="majorHAnsi" w:hAnsiTheme="majorHAnsi" w:cstheme="majorHAnsi"/>
          <w:sz w:val="22"/>
          <w:szCs w:val="22"/>
        </w:rPr>
        <w:t xml:space="preserve">. </w:t>
      </w:r>
      <w:r w:rsidRPr="00786CF6">
        <w:rPr>
          <w:rFonts w:asciiTheme="majorHAnsi" w:hAnsiTheme="majorHAnsi" w:cstheme="majorHAnsi"/>
          <w:sz w:val="22"/>
          <w:szCs w:val="22"/>
        </w:rPr>
        <w:t xml:space="preserve">Łączny koszt zakup nowych działek to ok. </w:t>
      </w:r>
      <w:r w:rsidR="00306411" w:rsidRPr="00091D01">
        <w:rPr>
          <w:rFonts w:asciiTheme="majorHAnsi" w:hAnsiTheme="majorHAnsi" w:cstheme="majorHAnsi"/>
          <w:sz w:val="22"/>
          <w:szCs w:val="22"/>
        </w:rPr>
        <w:t>193,6</w:t>
      </w:r>
      <w:r w:rsidR="00306411">
        <w:rPr>
          <w:rFonts w:asciiTheme="majorHAnsi" w:hAnsiTheme="majorHAnsi" w:cstheme="majorHAnsi"/>
          <w:sz w:val="22"/>
          <w:szCs w:val="22"/>
        </w:rPr>
        <w:t xml:space="preserve"> </w:t>
      </w:r>
      <w:r w:rsidRPr="00786CF6">
        <w:rPr>
          <w:rFonts w:asciiTheme="majorHAnsi" w:hAnsiTheme="majorHAnsi" w:cstheme="majorHAnsi"/>
          <w:sz w:val="22"/>
          <w:szCs w:val="22"/>
        </w:rPr>
        <w:t xml:space="preserve">mln zł, w przeliczeniu na 1 mkw. PUM to </w:t>
      </w:r>
      <w:r w:rsidR="00306411">
        <w:rPr>
          <w:rFonts w:asciiTheme="majorHAnsi" w:hAnsiTheme="majorHAnsi" w:cstheme="majorHAnsi"/>
          <w:sz w:val="22"/>
          <w:szCs w:val="22"/>
        </w:rPr>
        <w:t xml:space="preserve"> </w:t>
      </w:r>
      <w:r w:rsidR="00306411" w:rsidRPr="00091D01">
        <w:rPr>
          <w:rFonts w:asciiTheme="majorHAnsi" w:hAnsiTheme="majorHAnsi" w:cstheme="majorHAnsi"/>
          <w:sz w:val="22"/>
          <w:szCs w:val="22"/>
        </w:rPr>
        <w:t>851</w:t>
      </w:r>
      <w:r w:rsidR="00306411">
        <w:rPr>
          <w:rFonts w:asciiTheme="majorHAnsi" w:hAnsiTheme="majorHAnsi" w:cstheme="majorHAnsi"/>
          <w:sz w:val="22"/>
          <w:szCs w:val="22"/>
        </w:rPr>
        <w:t xml:space="preserve"> </w:t>
      </w:r>
      <w:r w:rsidRPr="00A25007">
        <w:rPr>
          <w:rFonts w:asciiTheme="majorHAnsi" w:hAnsiTheme="majorHAnsi" w:cstheme="majorHAnsi"/>
          <w:sz w:val="22"/>
          <w:szCs w:val="22"/>
        </w:rPr>
        <w:t xml:space="preserve">złotych, co </w:t>
      </w:r>
      <w:r>
        <w:rPr>
          <w:rFonts w:asciiTheme="majorHAnsi" w:hAnsiTheme="majorHAnsi" w:cstheme="majorHAnsi"/>
          <w:sz w:val="22"/>
          <w:szCs w:val="22"/>
        </w:rPr>
        <w:t xml:space="preserve">jest </w:t>
      </w:r>
      <w:r w:rsidRPr="00A25007">
        <w:rPr>
          <w:rFonts w:asciiTheme="majorHAnsi" w:hAnsiTheme="majorHAnsi" w:cstheme="majorHAnsi"/>
          <w:sz w:val="22"/>
          <w:szCs w:val="22"/>
        </w:rPr>
        <w:t>potwierdz</w:t>
      </w:r>
      <w:r>
        <w:rPr>
          <w:rFonts w:asciiTheme="majorHAnsi" w:hAnsiTheme="majorHAnsi" w:cstheme="majorHAnsi"/>
          <w:sz w:val="22"/>
          <w:szCs w:val="22"/>
        </w:rPr>
        <w:t>eniem</w:t>
      </w:r>
      <w:r w:rsidRPr="00A25007">
        <w:rPr>
          <w:rFonts w:asciiTheme="majorHAnsi" w:hAnsiTheme="majorHAnsi" w:cstheme="majorHAnsi"/>
          <w:sz w:val="22"/>
          <w:szCs w:val="22"/>
        </w:rPr>
        <w:t xml:space="preserve"> realizacj</w:t>
      </w:r>
      <w:r>
        <w:rPr>
          <w:rFonts w:asciiTheme="majorHAnsi" w:hAnsiTheme="majorHAnsi" w:cstheme="majorHAnsi"/>
          <w:sz w:val="22"/>
          <w:szCs w:val="22"/>
        </w:rPr>
        <w:t>i</w:t>
      </w:r>
      <w:r w:rsidRPr="00A25007">
        <w:rPr>
          <w:rFonts w:asciiTheme="majorHAnsi" w:hAnsiTheme="majorHAnsi" w:cstheme="majorHAnsi"/>
          <w:sz w:val="22"/>
          <w:szCs w:val="22"/>
        </w:rPr>
        <w:t xml:space="preserve"> racjonalnej polityki zakupu działek pod inwestycje. </w:t>
      </w:r>
      <w:r>
        <w:rPr>
          <w:rFonts w:asciiTheme="majorHAnsi" w:hAnsiTheme="majorHAnsi" w:cstheme="majorHAnsi"/>
          <w:sz w:val="22"/>
          <w:szCs w:val="22"/>
        </w:rPr>
        <w:t>Zakupione t</w:t>
      </w:r>
      <w:r w:rsidRPr="00A25007">
        <w:rPr>
          <w:rFonts w:asciiTheme="majorHAnsi" w:hAnsiTheme="majorHAnsi" w:cstheme="majorHAnsi"/>
          <w:sz w:val="22"/>
          <w:szCs w:val="22"/>
        </w:rPr>
        <w:t xml:space="preserve">ereny pozwolą na realizację </w:t>
      </w:r>
      <w:r w:rsidR="00306411" w:rsidRPr="00091D01">
        <w:rPr>
          <w:rFonts w:asciiTheme="majorHAnsi" w:hAnsiTheme="majorHAnsi" w:cstheme="majorHAnsi"/>
          <w:sz w:val="22"/>
          <w:szCs w:val="22"/>
        </w:rPr>
        <w:t>227</w:t>
      </w:r>
      <w:r w:rsidR="00306411">
        <w:rPr>
          <w:rFonts w:asciiTheme="majorHAnsi" w:hAnsiTheme="majorHAnsi" w:cstheme="majorHAnsi"/>
          <w:sz w:val="22"/>
          <w:szCs w:val="22"/>
        </w:rPr>
        <w:t xml:space="preserve"> </w:t>
      </w:r>
      <w:r w:rsidRPr="00A25007">
        <w:rPr>
          <w:rFonts w:asciiTheme="majorHAnsi" w:hAnsiTheme="majorHAnsi" w:cstheme="majorHAnsi"/>
          <w:sz w:val="22"/>
          <w:szCs w:val="22"/>
        </w:rPr>
        <w:t>tys. mkw. PUM.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54108">
        <w:rPr>
          <w:rFonts w:asciiTheme="majorHAnsi" w:hAnsiTheme="majorHAnsi" w:cstheme="majorHAnsi"/>
          <w:sz w:val="22"/>
          <w:szCs w:val="22"/>
        </w:rPr>
        <w:t>Obecny bank ziemi w posiadaniu spółki w pełni zabezpiecza plany inwestycyjne na najbliższe</w:t>
      </w:r>
      <w:r>
        <w:rPr>
          <w:rFonts w:asciiTheme="majorHAnsi" w:hAnsiTheme="majorHAnsi" w:cstheme="majorHAnsi"/>
          <w:sz w:val="22"/>
          <w:szCs w:val="22"/>
        </w:rPr>
        <w:t xml:space="preserve"> 3-4</w:t>
      </w:r>
      <w:r w:rsidRPr="00254108">
        <w:rPr>
          <w:rFonts w:asciiTheme="majorHAnsi" w:hAnsiTheme="majorHAnsi" w:cstheme="majorHAnsi"/>
          <w:sz w:val="22"/>
          <w:szCs w:val="22"/>
        </w:rPr>
        <w:t xml:space="preserve"> lata.</w:t>
      </w: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670A4C9" w14:textId="77777777" w:rsidR="00A2037F" w:rsidRPr="004009C7" w:rsidRDefault="00A2037F" w:rsidP="00A2037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B43BA4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informacji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udziela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:</w:t>
      </w:r>
    </w:p>
    <w:p w14:paraId="76CFF1ED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228107DC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70E99243" w14:textId="7BE20FF9" w:rsidR="0080615A" w:rsidRDefault="00C36ED7" w:rsidP="00B43BA4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091D01"/>
    <w:rsid w:val="000E7A42"/>
    <w:rsid w:val="000F7104"/>
    <w:rsid w:val="00174736"/>
    <w:rsid w:val="00183A23"/>
    <w:rsid w:val="001E139A"/>
    <w:rsid w:val="00216048"/>
    <w:rsid w:val="00254108"/>
    <w:rsid w:val="00274B57"/>
    <w:rsid w:val="002763F7"/>
    <w:rsid w:val="002926D9"/>
    <w:rsid w:val="002D58D8"/>
    <w:rsid w:val="002E0635"/>
    <w:rsid w:val="00306411"/>
    <w:rsid w:val="00334F1E"/>
    <w:rsid w:val="00363B72"/>
    <w:rsid w:val="003B489F"/>
    <w:rsid w:val="003E156A"/>
    <w:rsid w:val="003E5B55"/>
    <w:rsid w:val="003F0FAB"/>
    <w:rsid w:val="00404050"/>
    <w:rsid w:val="00422EDD"/>
    <w:rsid w:val="00470299"/>
    <w:rsid w:val="004D0F3E"/>
    <w:rsid w:val="004F2D4A"/>
    <w:rsid w:val="005957D8"/>
    <w:rsid w:val="00625460"/>
    <w:rsid w:val="00650343"/>
    <w:rsid w:val="006725EC"/>
    <w:rsid w:val="00692E00"/>
    <w:rsid w:val="006A6B5F"/>
    <w:rsid w:val="006B3105"/>
    <w:rsid w:val="006C4FC5"/>
    <w:rsid w:val="006F6BA3"/>
    <w:rsid w:val="00713B2B"/>
    <w:rsid w:val="00726378"/>
    <w:rsid w:val="00732C9F"/>
    <w:rsid w:val="00747CF7"/>
    <w:rsid w:val="007548B3"/>
    <w:rsid w:val="007625B5"/>
    <w:rsid w:val="00776275"/>
    <w:rsid w:val="007E51F0"/>
    <w:rsid w:val="007F21C3"/>
    <w:rsid w:val="00801B9D"/>
    <w:rsid w:val="00803D82"/>
    <w:rsid w:val="0080615A"/>
    <w:rsid w:val="00841B21"/>
    <w:rsid w:val="008565A4"/>
    <w:rsid w:val="008A34ED"/>
    <w:rsid w:val="008C4935"/>
    <w:rsid w:val="008C4AA0"/>
    <w:rsid w:val="008E030B"/>
    <w:rsid w:val="008E54EF"/>
    <w:rsid w:val="0092550B"/>
    <w:rsid w:val="009876A4"/>
    <w:rsid w:val="009A14C7"/>
    <w:rsid w:val="009E348F"/>
    <w:rsid w:val="009F1ED2"/>
    <w:rsid w:val="00A010BB"/>
    <w:rsid w:val="00A2037F"/>
    <w:rsid w:val="00A55E6E"/>
    <w:rsid w:val="00A703B1"/>
    <w:rsid w:val="00A73BF3"/>
    <w:rsid w:val="00A81724"/>
    <w:rsid w:val="00AB191F"/>
    <w:rsid w:val="00AB4741"/>
    <w:rsid w:val="00AF2664"/>
    <w:rsid w:val="00B226AF"/>
    <w:rsid w:val="00B378CF"/>
    <w:rsid w:val="00B43BA4"/>
    <w:rsid w:val="00B63C88"/>
    <w:rsid w:val="00BD3E25"/>
    <w:rsid w:val="00BD5D8E"/>
    <w:rsid w:val="00C36ED7"/>
    <w:rsid w:val="00C408B3"/>
    <w:rsid w:val="00C75815"/>
    <w:rsid w:val="00C91514"/>
    <w:rsid w:val="00CD55D4"/>
    <w:rsid w:val="00CF3E59"/>
    <w:rsid w:val="00D10309"/>
    <w:rsid w:val="00D1422C"/>
    <w:rsid w:val="00D25586"/>
    <w:rsid w:val="00D35520"/>
    <w:rsid w:val="00D63B7E"/>
    <w:rsid w:val="00D66599"/>
    <w:rsid w:val="00DA05CD"/>
    <w:rsid w:val="00DA1EDF"/>
    <w:rsid w:val="00DB0074"/>
    <w:rsid w:val="00E22A2E"/>
    <w:rsid w:val="00E65B75"/>
    <w:rsid w:val="00E76B05"/>
    <w:rsid w:val="00E96E87"/>
    <w:rsid w:val="00EA36FC"/>
    <w:rsid w:val="00EE15CD"/>
    <w:rsid w:val="00EE36C5"/>
    <w:rsid w:val="00EF0C25"/>
    <w:rsid w:val="00F1499B"/>
    <w:rsid w:val="00F35315"/>
    <w:rsid w:val="00F43988"/>
    <w:rsid w:val="00F526B8"/>
    <w:rsid w:val="00F717C1"/>
    <w:rsid w:val="00FA66F1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9</cp:revision>
  <cp:lastPrinted>2022-03-17T09:33:00Z</cp:lastPrinted>
  <dcterms:created xsi:type="dcterms:W3CDTF">2022-03-17T10:40:00Z</dcterms:created>
  <dcterms:modified xsi:type="dcterms:W3CDTF">2022-04-01T12:28:00Z</dcterms:modified>
</cp:coreProperties>
</file>