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1B69" w14:textId="77777777" w:rsidR="00233D95" w:rsidRPr="004F177C" w:rsidRDefault="00233D95" w:rsidP="00233D95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0614B3" wp14:editId="33551CC7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746DD" w14:textId="77777777" w:rsidR="00233D95" w:rsidRPr="004F177C" w:rsidRDefault="00233D95" w:rsidP="00233D95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0F65D36" w14:textId="77777777" w:rsidR="00233D95" w:rsidRDefault="00233D95" w:rsidP="00233D95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6629AB0" w14:textId="450A5C0A" w:rsidR="00233D95" w:rsidRPr="00732C9F" w:rsidRDefault="00233D95" w:rsidP="00233D95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16 września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FD52303" w14:textId="59079D4D" w:rsidR="00233D95" w:rsidRPr="009E348F" w:rsidRDefault="00233D95" w:rsidP="00233D95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B118EA">
        <w:rPr>
          <w:rFonts w:ascii="Calibri" w:eastAsia="Calibri" w:hAnsi="Calibri" w:cs="Calibri"/>
          <w:b/>
          <w:bCs/>
          <w:sz w:val="48"/>
          <w:szCs w:val="48"/>
        </w:rPr>
        <w:t xml:space="preserve"> podwyższył do 240 mln zł program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emisj</w:t>
      </w:r>
      <w:r w:rsidR="00B118EA">
        <w:rPr>
          <w:rFonts w:ascii="Calibri" w:eastAsia="Calibri" w:hAnsi="Calibri" w:cs="Calibri"/>
          <w:b/>
          <w:bCs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obligacji </w:t>
      </w:r>
    </w:p>
    <w:p w14:paraId="3E7716A2" w14:textId="0FD7C028" w:rsidR="008A3611" w:rsidRDefault="00284802" w:rsidP="0067791E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dniu 16 września </w:t>
      </w:r>
      <w:r w:rsidR="00233D9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– ogólnopolski deweloper – </w:t>
      </w:r>
      <w:r w:rsidR="006779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wprowadził zmiany do programu emisji obligacji z marca br., </w:t>
      </w:r>
      <w:r w:rsidR="00EF105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ramach którego wyemitowano wówczas 120 mln zł. Aktualnie podwyższono </w:t>
      </w:r>
      <w:r w:rsidR="006779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łączną wartość nominalną obligacji emitowanych w ramach tego programu z poziomu 2</w:t>
      </w:r>
      <w:r w:rsidR="00EF105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</w:t>
      </w:r>
      <w:r w:rsidR="006779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0 mln zł do kwoty 240 mln zł. </w:t>
      </w:r>
      <w:r w:rsidR="00EF105C" w:rsidRPr="00EF105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wyniku podwyższenia programu Zarząd ATAL podjął także uchwałę o nowej emisji obligacji w kwocie 120 mln zł.</w:t>
      </w:r>
      <w:r w:rsidR="00EF105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67791E"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Obligacje będą przedmiotem obrotu w alternatywnym systemie</w:t>
      </w:r>
      <w:r w:rsidR="006779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8A361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obro</w:t>
      </w:r>
      <w:r w:rsidR="009B020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tu prowadzonego przez GPW S.A. </w:t>
      </w:r>
      <w:r w:rsidR="0067791E"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Pozyskane środki zostaną przeznaczone na zakup gruntów oraz finansowanie wybranych przedsięwzięć deweloperskich.</w:t>
      </w:r>
    </w:p>
    <w:p w14:paraId="3B6F6CA1" w14:textId="6B2DE035" w:rsidR="00EF105C" w:rsidRDefault="00B064AB" w:rsidP="0028480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marcu tego roku Zarząd ATAL </w:t>
      </w:r>
      <w:r w:rsidRPr="00EF6B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zdecydował o uruchomieniu programu emisji obligacji 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na 2021 rok </w:t>
      </w:r>
      <w:r w:rsidRPr="00EF6B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 kwoty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0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0</w:t>
      </w:r>
      <w:r w:rsidRPr="00EF6B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mln zł. 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Jednocześnie wyemitowano w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ówczas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obligację serii AX w kwocie 120 mln zł.  W ramach tego programu emisji obligacji ATAL skierował we wrześniu b.r. ofertę kierowaną </w:t>
      </w:r>
      <w:r w:rsidR="00EF105C" w:rsidRPr="00B064A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 inwestorów instytucjonalnych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</w:t>
      </w:r>
      <w:r w:rsidR="00A7275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ferta dewelopera </w:t>
      </w:r>
      <w:r w:rsidRPr="00B064A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spotkała się z bardzo dużym zainteresowaniem, </w:t>
      </w:r>
      <w:r w:rsidR="00A7275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znacznie </w:t>
      </w:r>
      <w:r w:rsidRPr="00B064A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przekraczającym liczbę oferowanych obligacji. </w:t>
      </w:r>
      <w:r w:rsidR="008A36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Dlatego Zarząd </w:t>
      </w:r>
      <w:r w:rsidR="009B020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</w:t>
      </w:r>
      <w:r w:rsidR="008A36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podjął</w:t>
      </w:r>
      <w:r w:rsidR="009B020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uchwałę o zwiększeniu łącznej wartości programu o dodatkowe 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4</w:t>
      </w:r>
      <w:r w:rsidR="009B020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0 mln zł, czyli do</w:t>
      </w:r>
      <w:r w:rsid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9B0200" w:rsidRPr="008A36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kwoty </w:t>
      </w:r>
      <w:r w:rsidR="009B020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240</w:t>
      </w:r>
      <w:r w:rsidR="009B0200" w:rsidRPr="008A36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mln zł</w:t>
      </w:r>
      <w:r w:rsidR="009B020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="00EF105C" w:rsidRPr="00EF105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ramach zwiększonej kwoty programu emisji deweloper wyemituje kolejną serię obligacji o wartości 120 mln zł.  W emisji obligacji inwestorom finansowym zostaną przydzielone 2-letnie papiery. Stopa procentowa została ustalona na poziomie stopy bazowej WIBOR 6M powiększonej o marżę odsetkową w wysokości 1,75% w stosunku rocznym.</w:t>
      </w:r>
    </w:p>
    <w:p w14:paraId="6ED7AF10" w14:textId="77777777" w:rsidR="00233D95" w:rsidRDefault="00233D95" w:rsidP="00233D95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3DBA9C" wp14:editId="522CD4FA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D742D" id="Grupa 36" o:spid="_x0000_s1026" style="position:absolute;margin-left:0;margin-top:4.35pt;width:36.35pt;height:23.3pt;z-index:251663360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anchorx="margin"/>
              </v:group>
            </w:pict>
          </mc:Fallback>
        </mc:AlternateContent>
      </w:r>
    </w:p>
    <w:p w14:paraId="6363EC0D" w14:textId="77777777" w:rsidR="00233D95" w:rsidRDefault="00233D95" w:rsidP="00233D95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</w:p>
    <w:p w14:paraId="18EDD436" w14:textId="15722FBC" w:rsidR="008A3611" w:rsidRDefault="00640FF3" w:rsidP="00233D95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F360A6" wp14:editId="39DD7172">
                <wp:simplePos x="0" y="0"/>
                <wp:positionH relativeFrom="margin">
                  <wp:align>right</wp:align>
                </wp:positionH>
                <wp:positionV relativeFrom="paragraph">
                  <wp:posOffset>1080135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35072" id="Grupa 16" o:spid="_x0000_s1026" style="position:absolute;margin-left:-14.85pt;margin-top:85.05pt;width:36.35pt;height:23.3pt;z-index:251662336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9B020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Mając na uwadze bardzo duży popyt ze strony inwestorów i plany Spółki dotyczące dalszych zakupów gruntów zdecydowaliśmy się na zwiększenie wartości emisji</w:t>
      </w:r>
      <w:r w:rsidR="002B0A0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Sukces naszej kolejnej emisji obligacji to dowód zaufania inwestorów i potwierdzenie, że </w:t>
      </w:r>
      <w:r w:rsidR="002B0A05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jesteśmy wiarygodnym partnerem dla instytucji finansowych.</w:t>
      </w:r>
      <w:r w:rsidR="002B0A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Pozyskane środki pozwolą nam na dalszy dynamiczny rozwój oraz rozbudowanie naszego banku ziemi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</w:t>
      </w:r>
      <w:r w:rsidR="00233D9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ATAL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posiada</w:t>
      </w:r>
      <w:r w:rsidR="00233D9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odpowiednie zaplecze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 ale także</w:t>
      </w:r>
      <w:r w:rsidR="00233D9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potencjał do utrzymywania wiodącej pozycji w sektorze </w:t>
      </w:r>
    </w:p>
    <w:p w14:paraId="069735AD" w14:textId="13CF5EBD" w:rsidR="00233D95" w:rsidRDefault="00233D95" w:rsidP="00233D95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71F2D961" w14:textId="77777777" w:rsidR="00233D95" w:rsidRPr="000F7104" w:rsidRDefault="00233D95" w:rsidP="00233D95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0C8A4C89" w14:textId="77777777" w:rsidR="00233D95" w:rsidRPr="000F7104" w:rsidRDefault="00233D95" w:rsidP="00233D95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zakontraktował od stycznia do czerwca 2 070 mieszkań. Spółka podpisała następującą liczbę umów deweloperskich i przedwstępnych: w kwietniu 413, w maju 382, a w czerwcu 428. Łącznie w drugim kwartale br. spółka sprzedała 1 223 mieszkania. Grupa posiadała na koniec II kwartału 2021 roku 781 aktywnych umów rezerwacyjnych. </w:t>
      </w:r>
    </w:p>
    <w:p w14:paraId="30A6E5A2" w14:textId="77777777" w:rsidR="00233D95" w:rsidRPr="000F7104" w:rsidRDefault="00233D95" w:rsidP="00233D95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pierwszym półroczu 2021 roku ATAL przekazał klientom 1 650 lokali. Najwięcej lokali zostało wydanych w Warszawie (481), Łodzi (282), Poznaniu (255) a następnie we Wrocławiu (230), Krakowie (215), Katowicach (179) i Trójmieście (8). </w:t>
      </w:r>
    </w:p>
    <w:p w14:paraId="0DC444BB" w14:textId="77777777" w:rsidR="00233D95" w:rsidRPr="00C36ED7" w:rsidRDefault="00233D95" w:rsidP="00233D95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W dniu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15 lipca br. spółka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wypła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ciła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dywidendy w wysokości 80% zeszłorocznego zysku netto jednostki dominującej. Oznacza to, że do akcjonariuszy trafi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ło 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117,3 mln złotych, czyli 3,03 zł na akcję. Pozostał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część wypracowanego zysku – 28,4 mln zł – zasili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ła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kapitał zapasowy. Dzień dywidendy ustalono na 7 lipca, a termin wypłaty na 15 lipca br. Od początku obecności ATAL na GPW łączna kwota wypłaconej dywidendy to 524 mln zł.</w:t>
      </w:r>
    </w:p>
    <w:p w14:paraId="3D8D7B59" w14:textId="77777777" w:rsidR="00233D95" w:rsidRPr="004D5B73" w:rsidRDefault="00233D95" w:rsidP="00233D95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Pr="002239A2">
        <w:rPr>
          <w:rFonts w:asciiTheme="majorHAnsi" w:hAnsiTheme="majorHAnsi" w:cstheme="majorHAnsi"/>
          <w:sz w:val="22"/>
          <w:szCs w:val="22"/>
        </w:rPr>
        <w:t xml:space="preserve">50%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>
        <w:rPr>
          <w:rFonts w:asciiTheme="majorHAnsi" w:hAnsiTheme="majorHAnsi" w:cstheme="majorHAnsi"/>
          <w:sz w:val="22"/>
          <w:szCs w:val="22"/>
        </w:rPr>
        <w:t xml:space="preserve">ponad </w:t>
      </w:r>
      <w:r w:rsidRPr="002239A2">
        <w:rPr>
          <w:rFonts w:asciiTheme="majorHAnsi" w:hAnsiTheme="majorHAnsi" w:cstheme="majorHAnsi"/>
          <w:sz w:val="22"/>
          <w:szCs w:val="22"/>
        </w:rPr>
        <w:t>80% 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>. W zeszłym roku jednorazowo zmieniono politykę dywidendy ze względu na sytuację związaną z pandemią koronawirusa.</w:t>
      </w:r>
    </w:p>
    <w:p w14:paraId="77C1CEC2" w14:textId="77777777" w:rsidR="00233D95" w:rsidRDefault="00233D95" w:rsidP="00233D95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Pr="00A25007">
        <w:rPr>
          <w:rFonts w:asciiTheme="majorHAnsi" w:hAnsiTheme="majorHAnsi" w:cstheme="majorHAnsi"/>
          <w:sz w:val="22"/>
          <w:szCs w:val="22"/>
        </w:rPr>
        <w:t xml:space="preserve">2 nowe grunty inwestycyjne w Katowicach i Poznaniu.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 xml:space="preserve">648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>ereny pozwolą na realizację 80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6125E8FA" w14:textId="77777777" w:rsidR="00233D95" w:rsidRPr="00991150" w:rsidRDefault="00233D95" w:rsidP="00233D95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7BF913" wp14:editId="440F0B58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A8D6F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667AC72" w14:textId="77777777" w:rsidR="00233D95" w:rsidRPr="004009C7" w:rsidRDefault="00233D95" w:rsidP="00233D95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524F3AEC" w14:textId="77777777" w:rsidR="00233D95" w:rsidRDefault="00233D95" w:rsidP="00233D95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3306B7" wp14:editId="1095427F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A29E9" id="Grupa 10" o:spid="_x0000_s1026" style="position:absolute;margin-left:0;margin-top:9.4pt;width:30.7pt;height:7.2pt;z-index:251661312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449461B3" w14:textId="77777777" w:rsidR="00233D95" w:rsidRPr="004009C7" w:rsidRDefault="00233D95" w:rsidP="00233D95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0B74F46F" w14:textId="77777777" w:rsidR="00233D95" w:rsidRPr="004009C7" w:rsidRDefault="00233D95" w:rsidP="00233D95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20D20916" w14:textId="77777777" w:rsidR="00233D95" w:rsidRPr="00C408B3" w:rsidRDefault="00233D95" w:rsidP="00233D95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34B364C3" w14:textId="77777777" w:rsidR="00233D95" w:rsidRPr="00C408B3" w:rsidRDefault="00233D95" w:rsidP="00233D95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612D6986" w14:textId="77777777" w:rsidR="00233D95" w:rsidRPr="00C408B3" w:rsidRDefault="00233D95" w:rsidP="00233D95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26362DF8" w14:textId="77777777" w:rsidR="00233D95" w:rsidRDefault="00233D95" w:rsidP="00233D95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p w14:paraId="078E5957" w14:textId="77777777" w:rsidR="00233D95" w:rsidRDefault="00233D95" w:rsidP="00233D95"/>
    <w:p w14:paraId="1C88CB43" w14:textId="77777777" w:rsidR="00F65E4F" w:rsidRDefault="00F65E4F"/>
    <w:sectPr w:rsidR="00F6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95"/>
    <w:rsid w:val="00045B9F"/>
    <w:rsid w:val="00233D95"/>
    <w:rsid w:val="00284802"/>
    <w:rsid w:val="002B0A05"/>
    <w:rsid w:val="003A1195"/>
    <w:rsid w:val="005F6E08"/>
    <w:rsid w:val="00640FF3"/>
    <w:rsid w:val="0067791E"/>
    <w:rsid w:val="007F2C91"/>
    <w:rsid w:val="008A3611"/>
    <w:rsid w:val="009B0200"/>
    <w:rsid w:val="00A7275F"/>
    <w:rsid w:val="00B064AB"/>
    <w:rsid w:val="00B118EA"/>
    <w:rsid w:val="00C203B3"/>
    <w:rsid w:val="00EF105C"/>
    <w:rsid w:val="00F2786F"/>
    <w:rsid w:val="00F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5E53"/>
  <w15:chartTrackingRefBased/>
  <w15:docId w15:val="{080D4C37-F57D-48A2-8354-764E8F1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D95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3D95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14</cp:revision>
  <dcterms:created xsi:type="dcterms:W3CDTF">2021-09-16T13:20:00Z</dcterms:created>
  <dcterms:modified xsi:type="dcterms:W3CDTF">2021-09-16T15:20:00Z</dcterms:modified>
</cp:coreProperties>
</file>