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502555F" w14:textId="67013740" w:rsidR="00A2037F" w:rsidRPr="00732C9F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9E348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 września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1ED0468B" w14:textId="628A12C3" w:rsidR="00334F1E" w:rsidRPr="009E348F" w:rsidRDefault="009E348F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w H1 2021 zwiększa zysk netto o 127% </w:t>
      </w:r>
      <w:proofErr w:type="spellStart"/>
      <w:r>
        <w:rPr>
          <w:rFonts w:ascii="Calibri" w:eastAsia="Calibri" w:hAnsi="Calibri" w:cs="Calibri"/>
          <w:b/>
          <w:bCs/>
          <w:sz w:val="48"/>
          <w:szCs w:val="48"/>
        </w:rPr>
        <w:t>rdr</w:t>
      </w:r>
      <w:proofErr w:type="spellEnd"/>
      <w:r>
        <w:rPr>
          <w:rFonts w:ascii="Calibri" w:eastAsia="Calibri" w:hAnsi="Calibri" w:cs="Calibri"/>
          <w:b/>
          <w:bCs/>
          <w:sz w:val="48"/>
          <w:szCs w:val="48"/>
        </w:rPr>
        <w:t>.</w:t>
      </w:r>
    </w:p>
    <w:p w14:paraId="7FA0F89E" w14:textId="6841980D" w:rsidR="003E156A" w:rsidRDefault="009E348F" w:rsidP="009E34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 – ogólnopolski deweloper – po wydaniu 1 650 lokali w pierwszej połowie 2021 roku wygenerował skonsolidowane przychody na poziomie 651,6 mln zł, wobec 455,7 mln zł przed rokiem. Oznacza to wzrost o 43% </w:t>
      </w:r>
      <w:proofErr w:type="spellStart"/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rdr</w:t>
      </w:r>
      <w:proofErr w:type="spellEnd"/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W tym okresie sprawozdawczym wynik netto przypisany akcjonariuszom jednostki dominującej wyniósł 116,2 mln zł, gdy przed rokiem było to 51,1 mln zł, czyli o 127% więcej </w:t>
      </w:r>
      <w:proofErr w:type="spellStart"/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rdr</w:t>
      </w:r>
      <w:proofErr w:type="spellEnd"/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Marża brutto ze sprzedaży w H1 2021 wyniosła 24,3% , a marża netto zaś 17,8%. </w:t>
      </w:r>
    </w:p>
    <w:p w14:paraId="75547F4B" w14:textId="426531E1" w:rsidR="009E348F" w:rsidRDefault="009E348F" w:rsidP="009E34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Spółka w drugim kwartale br. wy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pracowała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przychody na poziomie 364,3 mln zł. Wynik netto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przypisany akcjonariuszom jednostki dominującej wyniósł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tym czasie 67,7 mln zł. Marża brutto ze sprzedaży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od kwietnia do czerwca tego roku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niosła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25,5%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a marża netto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zaś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18,6%.</w:t>
      </w:r>
    </w:p>
    <w:p w14:paraId="713F1E31" w14:textId="4AD1BD2F" w:rsidR="009E348F" w:rsidRPr="009E348F" w:rsidRDefault="009E348F" w:rsidP="009E34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Tegoroczny potencjał przekazań na ten rok wynosi nawet do 4 tys. mieszkań. Tegoroczny poziom sprzedaży też może wynieść ok. 4 tys. lokali.</w:t>
      </w:r>
    </w:p>
    <w:p w14:paraId="5D6EB7D0" w14:textId="7EC3DE98" w:rsidR="003E156A" w:rsidRDefault="009E348F" w:rsidP="003E156A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A6C78B" wp14:editId="3B3F566B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461645" cy="295910"/>
                <wp:effectExtent l="0" t="0" r="0" b="8890"/>
                <wp:wrapNone/>
                <wp:docPr id="1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2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4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FF074" id="Grupa 36" o:spid="_x0000_s1026" style="position:absolute;margin-left:0;margin-top:4.35pt;width:36.35pt;height:23.3pt;z-index:251667456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2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4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anchorx="margin"/>
              </v:group>
            </w:pict>
          </mc:Fallback>
        </mc:AlternateContent>
      </w:r>
    </w:p>
    <w:p w14:paraId="42D032DC" w14:textId="77777777" w:rsidR="009E348F" w:rsidRDefault="009E348F" w:rsidP="003E156A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</w:p>
    <w:p w14:paraId="7B8E8E7C" w14:textId="79B01060" w:rsidR="003E156A" w:rsidRDefault="00EF0C25" w:rsidP="00FE02C8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7EA586" wp14:editId="44BDB450">
                <wp:simplePos x="0" y="0"/>
                <wp:positionH relativeFrom="margin">
                  <wp:align>right</wp:align>
                </wp:positionH>
                <wp:positionV relativeFrom="paragraph">
                  <wp:posOffset>1219200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4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DB79A" id="Grupa 16" o:spid="_x0000_s1026" style="position:absolute;margin-left:-14.85pt;margin-top:96pt;width:36.35pt;height:23.3pt;z-index:251665408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4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="00E22A2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Pierwsze półrocze zamknęliśmy bardzo dobrymi wynikami kontraktacji oraz przekazań.</w:t>
      </w:r>
      <w:r w:rsidR="00FE02C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Na rynku widoczny jest trend, w którym to największe i wyspecjalizowane podmioty najlepiej radzą sobie w branży deweloperskiej. ATAL ma odpowiednie zaplecze oraz potencjał do utrzymywania wiodącej pozycji w sektorze. Organicznie zbudowaliśmy silne struktury w siedmiu największych aglomeracjach w Polsce, co pozytywnie wpływa na osiągane przez spółkę wyniki. Stale i racjonalnie rozbudowujemy nasz bank ziemi, który i tak w pełni zabezpiecza naszą działalność na kilka lat. Przyglądamy się i odpowiednio reagujemy na zjawiska, które zachodzą w branży. Nie odnotowujemy istotnych czynników mogących zmienić sytuację na pierwotnym rynku mieszkaniowym</w:t>
      </w:r>
    </w:p>
    <w:p w14:paraId="26FD28C7" w14:textId="01ABBDEC" w:rsidR="003E156A" w:rsidRDefault="00AB191F" w:rsidP="003E156A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– </w:t>
      </w:r>
      <w:r w:rsidR="003E156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mówi</w:t>
      </w:r>
      <w:r w:rsidR="003E156A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9E348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</w:t>
      </w:r>
      <w:r w:rsidR="003E156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arządu ATAL S</w:t>
      </w:r>
      <w:r w:rsidR="009E348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A.</w:t>
      </w:r>
      <w:r w:rsidR="003E156A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1265DB7A" w14:textId="77777777" w:rsidR="003E156A" w:rsidRPr="000F7104" w:rsidRDefault="003E156A" w:rsidP="003E156A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5A47AE17" w14:textId="5B0AEF1D" w:rsidR="000F7104" w:rsidRPr="000F7104" w:rsidRDefault="000F7104" w:rsidP="00C408B3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zakontraktował od stycznia do czerwca 2 070 mieszkań. </w:t>
      </w:r>
      <w:r w:rsidR="00C408B3"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Spółka podpisała następującą liczbę umów deweloperskich i przedwstępnych: w kwietniu 413, w maju 382, a w czerwcu 428. </w:t>
      </w:r>
      <w:r w:rsidR="00732C9F"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Łącznie w</w:t>
      </w:r>
      <w:r w:rsidR="00C408B3"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drugim kwartale br. spółka sprzedała 1 223 mieszkania. Grupa posiadała na koniec II kwartału 2021 roku 781 aktywnych umów rezerwacyjnych.</w:t>
      </w: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33BC12FA" w14:textId="2E437625" w:rsidR="00C408B3" w:rsidRPr="000F7104" w:rsidRDefault="000F7104" w:rsidP="00C408B3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pierwszym półroczu 2021 roku ATAL przekazał klientom 1 650 lokali. Najwięcej lokali zostało wydanych w Warszawie (481), Łodzi (282), Poznaniu (255) a następnie we Wrocławiu (230), Krakowie (215), Katowicach (179) i Trójmieście (8). </w:t>
      </w:r>
    </w:p>
    <w:p w14:paraId="667562D0" w14:textId="6F85B83D" w:rsidR="00C36ED7" w:rsidRPr="00C36ED7" w:rsidRDefault="00C36ED7" w:rsidP="00C36ED7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dniu 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15 lipca br. spółka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wypła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ciła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dywidendy w wysokości 80% zeszłorocznego zysku netto jednostki dominującej. Oznacza to, że do akcjonariuszy trafi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ło 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117,3 mln złotych, czyli 3,03 zł na akcję. Pozostał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część wypracowanego zysku – 28,4 mln zł – zasili</w:t>
      </w:r>
      <w:r w:rsid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ła</w:t>
      </w: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kapitał zapasowy. Dzień dywidendy ustalono na 7 lipca, a termin wypłaty na 15 lipca br. Od początku obecności ATAL na GPW łączna kwota wypłaconej dywidendy to 524 mln zł.</w:t>
      </w:r>
    </w:p>
    <w:p w14:paraId="033ACF1D" w14:textId="77777777" w:rsidR="0007306F" w:rsidRPr="004D5B73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lastRenderedPageBreak/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Pr="002239A2">
        <w:rPr>
          <w:rFonts w:asciiTheme="majorHAnsi" w:hAnsiTheme="majorHAnsi" w:cstheme="majorHAnsi"/>
          <w:sz w:val="22"/>
          <w:szCs w:val="22"/>
        </w:rPr>
        <w:t xml:space="preserve">50%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>
        <w:rPr>
          <w:rFonts w:asciiTheme="majorHAnsi" w:hAnsiTheme="majorHAnsi" w:cstheme="majorHAnsi"/>
          <w:sz w:val="22"/>
          <w:szCs w:val="22"/>
        </w:rPr>
        <w:t xml:space="preserve">ponad </w:t>
      </w:r>
      <w:r w:rsidRPr="002239A2">
        <w:rPr>
          <w:rFonts w:asciiTheme="majorHAnsi" w:hAnsiTheme="majorHAnsi" w:cstheme="majorHAnsi"/>
          <w:sz w:val="22"/>
          <w:szCs w:val="22"/>
        </w:rPr>
        <w:t>80% 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. W zeszłym roku jednorazowo zmieniono politykę dywidendy ze względu na sytuację związaną z pandemią </w:t>
      </w:r>
      <w:proofErr w:type="spellStart"/>
      <w:r>
        <w:rPr>
          <w:rFonts w:asciiTheme="majorHAnsi" w:hAnsiTheme="majorHAnsi" w:cstheme="majorHAnsi"/>
          <w:sz w:val="22"/>
          <w:szCs w:val="22"/>
        </w:rPr>
        <w:t>koronawirusa</w:t>
      </w:r>
      <w:proofErr w:type="spellEnd"/>
      <w:r>
        <w:rPr>
          <w:rFonts w:asciiTheme="majorHAnsi" w:hAnsiTheme="majorHAnsi" w:cstheme="majorHAnsi"/>
          <w:sz w:val="22"/>
          <w:szCs w:val="22"/>
        </w:rPr>
        <w:t>.</w:t>
      </w:r>
    </w:p>
    <w:p w14:paraId="48E8D55A" w14:textId="274DA926" w:rsidR="00C36ED7" w:rsidRDefault="00C36ED7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 xml:space="preserve">W </w:t>
      </w:r>
      <w:r>
        <w:rPr>
          <w:rFonts w:asciiTheme="majorHAnsi" w:hAnsiTheme="majorHAnsi" w:cstheme="majorHAnsi"/>
          <w:sz w:val="22"/>
          <w:szCs w:val="22"/>
        </w:rPr>
        <w:t xml:space="preserve">I kw.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 w:rsidRPr="00A25007">
        <w:rPr>
          <w:rFonts w:asciiTheme="majorHAnsi" w:hAnsiTheme="majorHAnsi" w:cstheme="majorHAnsi"/>
          <w:sz w:val="22"/>
          <w:szCs w:val="22"/>
        </w:rPr>
        <w:t xml:space="preserve">2 nowe grunty inwestycyjne w Katowicach i Poznaniu.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52 mln zł, w przeliczeniu na 1 mkw. PUM to </w:t>
      </w:r>
      <w:r w:rsidRPr="00A25007">
        <w:rPr>
          <w:rFonts w:asciiTheme="majorHAnsi" w:hAnsiTheme="majorHAnsi" w:cstheme="majorHAnsi"/>
          <w:sz w:val="22"/>
          <w:szCs w:val="22"/>
        </w:rPr>
        <w:t xml:space="preserve">648 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>ereny pozwolą na realizację 80 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>
        <w:rPr>
          <w:rFonts w:asciiTheme="majorHAnsi" w:hAnsiTheme="majorHAnsi" w:cstheme="majorHAnsi"/>
          <w:sz w:val="22"/>
          <w:szCs w:val="22"/>
        </w:rPr>
        <w:t xml:space="preserve">obejmuje ponad milion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0E3C32AC" w14:textId="77777777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4009C7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40AEB203" w14:textId="77777777" w:rsidR="00C36ED7" w:rsidRPr="004009C7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08EFE925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4366605F" w14:textId="3A7B1931" w:rsidR="00A2037F" w:rsidRDefault="00C36ED7" w:rsidP="00E76B05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p w14:paraId="70E99243" w14:textId="77777777" w:rsidR="0080615A" w:rsidRDefault="0080615A"/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F7104"/>
    <w:rsid w:val="00183A23"/>
    <w:rsid w:val="00254108"/>
    <w:rsid w:val="002763F7"/>
    <w:rsid w:val="002926D9"/>
    <w:rsid w:val="00334F1E"/>
    <w:rsid w:val="00363B72"/>
    <w:rsid w:val="003E156A"/>
    <w:rsid w:val="003E5B55"/>
    <w:rsid w:val="00422EDD"/>
    <w:rsid w:val="00470299"/>
    <w:rsid w:val="004F2D4A"/>
    <w:rsid w:val="005957D8"/>
    <w:rsid w:val="00625460"/>
    <w:rsid w:val="006725EC"/>
    <w:rsid w:val="006A6B5F"/>
    <w:rsid w:val="00726378"/>
    <w:rsid w:val="00732C9F"/>
    <w:rsid w:val="00747CF7"/>
    <w:rsid w:val="00776275"/>
    <w:rsid w:val="007E51F0"/>
    <w:rsid w:val="00801B9D"/>
    <w:rsid w:val="0080615A"/>
    <w:rsid w:val="00841B21"/>
    <w:rsid w:val="008565A4"/>
    <w:rsid w:val="008C4935"/>
    <w:rsid w:val="008C4AA0"/>
    <w:rsid w:val="009876A4"/>
    <w:rsid w:val="009A14C7"/>
    <w:rsid w:val="009E348F"/>
    <w:rsid w:val="00A2037F"/>
    <w:rsid w:val="00A55E6E"/>
    <w:rsid w:val="00A703B1"/>
    <w:rsid w:val="00A81724"/>
    <w:rsid w:val="00AB191F"/>
    <w:rsid w:val="00B226AF"/>
    <w:rsid w:val="00B378CF"/>
    <w:rsid w:val="00BD3E25"/>
    <w:rsid w:val="00C36ED7"/>
    <w:rsid w:val="00C408B3"/>
    <w:rsid w:val="00DB0074"/>
    <w:rsid w:val="00E22A2E"/>
    <w:rsid w:val="00E76B05"/>
    <w:rsid w:val="00E96E87"/>
    <w:rsid w:val="00EA36FC"/>
    <w:rsid w:val="00EE36C5"/>
    <w:rsid w:val="00EF0C25"/>
    <w:rsid w:val="00F35315"/>
    <w:rsid w:val="00F717C1"/>
    <w:rsid w:val="00FA66F1"/>
    <w:rsid w:val="00FE02C8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2021-09-03T06:29:00Z</dcterms:created>
  <dcterms:modified xsi:type="dcterms:W3CDTF">2021-09-03T06:29:00Z</dcterms:modified>
</cp:coreProperties>
</file>